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2A62F3" w14:textId="77777777" w:rsidR="00353C5E" w:rsidRPr="00FE3C28" w:rsidRDefault="0084538B" w:rsidP="00FE3C28">
      <w:pPr>
        <w:tabs>
          <w:tab w:val="left" w:pos="10206"/>
        </w:tabs>
        <w:ind w:left="567" w:right="560"/>
        <w:rPr>
          <w:rFonts w:ascii="Arial" w:hAnsi="Arial" w:cs="Arial"/>
          <w:sz w:val="22"/>
          <w:szCs w:val="22"/>
        </w:rPr>
      </w:pPr>
      <w:r>
        <w:rPr>
          <w:noProof/>
          <w:lang w:eastAsia="en-GB"/>
        </w:rPr>
        <mc:AlternateContent>
          <mc:Choice Requires="wps">
            <w:drawing>
              <wp:anchor distT="0" distB="0" distL="114300" distR="114300" simplePos="0" relativeHeight="251658240" behindDoc="0" locked="0" layoutInCell="1" allowOverlap="1" wp14:anchorId="287AF10E" wp14:editId="0F7E6687">
                <wp:simplePos x="0" y="0"/>
                <wp:positionH relativeFrom="column">
                  <wp:posOffset>3823335</wp:posOffset>
                </wp:positionH>
                <wp:positionV relativeFrom="paragraph">
                  <wp:posOffset>-105410</wp:posOffset>
                </wp:positionV>
                <wp:extent cx="2714625" cy="274320"/>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274320"/>
                        </a:xfrm>
                        <a:prstGeom prst="rect">
                          <a:avLst/>
                        </a:prstGeom>
                        <a:noFill/>
                        <a:ln w="9525">
                          <a:noFill/>
                          <a:miter lim="800000"/>
                          <a:headEnd/>
                          <a:tailEnd/>
                        </a:ln>
                      </wps:spPr>
                      <wps:txbx>
                        <w:txbxContent>
                          <w:p w14:paraId="6AEB6FCC" w14:textId="1A2EB988" w:rsidR="00353C5E" w:rsidRPr="001E2008" w:rsidRDefault="00353C5E" w:rsidP="00E06A62">
                            <w:pPr>
                              <w:jc w:val="right"/>
                              <w:rPr>
                                <w:rFonts w:ascii="Arial" w:hAnsi="Arial" w:cs="Arial"/>
                                <w:sz w:val="20"/>
                                <w:szCs w:val="22"/>
                              </w:rPr>
                            </w:pPr>
                            <w:r w:rsidRPr="001E2008">
                              <w:rPr>
                                <w:rFonts w:ascii="Arial" w:hAnsi="Arial" w:cs="Arial"/>
                                <w:b/>
                                <w:sz w:val="20"/>
                                <w:szCs w:val="22"/>
                              </w:rPr>
                              <w:t>Circular:</w:t>
                            </w:r>
                            <w:r w:rsidR="00020CFE">
                              <w:rPr>
                                <w:rFonts w:ascii="Arial" w:hAnsi="Arial" w:cs="Arial"/>
                                <w:sz w:val="20"/>
                                <w:szCs w:val="22"/>
                              </w:rPr>
                              <w:t xml:space="preserve">  2017HOC0176</w:t>
                            </w:r>
                            <w:r>
                              <w:rPr>
                                <w:rFonts w:ascii="Arial" w:hAnsi="Arial" w:cs="Arial"/>
                                <w:sz w:val="20"/>
                                <w:szCs w:val="22"/>
                              </w:rPr>
                              <w:t>MW</w:t>
                            </w:r>
                          </w:p>
                          <w:p w14:paraId="652CE2E9" w14:textId="77777777" w:rsidR="00353C5E" w:rsidRPr="00F81B0A" w:rsidRDefault="00353C5E" w:rsidP="00E06A62">
                            <w:pPr>
                              <w:tabs>
                                <w:tab w:val="right" w:pos="9498"/>
                                <w:tab w:val="right" w:pos="9639"/>
                              </w:tabs>
                              <w:jc w:val="right"/>
                              <w:rPr>
                                <w:rFonts w:ascii="Arial" w:hAnsi="Arial" w:cs="Arial"/>
                                <w:sz w:val="22"/>
                                <w:szCs w:val="22"/>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287AF10E" id="_x0000_t202" coordsize="21600,21600" o:spt="202" path="m,l,21600r21600,l21600,xe">
                <v:stroke joinstyle="miter"/>
                <v:path gradientshapeok="t" o:connecttype="rect"/>
              </v:shapetype>
              <v:shape id="Text Box 307" o:spid="_x0000_s1026" type="#_x0000_t202" style="position:absolute;left:0;text-align:left;margin-left:301.05pt;margin-top:-8.3pt;width:213.75pt;height:21.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" filled="f" stroked="f">
                <v:textbox>
                  <w:txbxContent>
                    <w:p w14:paraId="6AEB6FCC" w14:textId="1A2EB988" w:rsidR="00353C5E" w:rsidRPr="001E2008" w:rsidRDefault="00353C5E" w:rsidP="00E06A62">
                      <w:pPr>
                        <w:jc w:val="right"/>
                        <w:rPr>
                          <w:rFonts w:ascii="Arial" w:hAnsi="Arial" w:cs="Arial"/>
                          <w:sz w:val="20"/>
                          <w:szCs w:val="22"/>
                        </w:rPr>
                      </w:pPr>
                      <w:r w:rsidRPr="001E2008">
                        <w:rPr>
                          <w:rFonts w:ascii="Arial" w:hAnsi="Arial" w:cs="Arial"/>
                          <w:b/>
                          <w:sz w:val="20"/>
                          <w:szCs w:val="22"/>
                        </w:rPr>
                        <w:t>Circular:</w:t>
                      </w:r>
                      <w:r w:rsidR="00020CFE">
                        <w:rPr>
                          <w:rFonts w:ascii="Arial" w:hAnsi="Arial" w:cs="Arial"/>
                          <w:sz w:val="20"/>
                          <w:szCs w:val="22"/>
                        </w:rPr>
                        <w:t xml:space="preserve">  2017HOC0176</w:t>
                      </w:r>
                      <w:r>
                        <w:rPr>
                          <w:rFonts w:ascii="Arial" w:hAnsi="Arial" w:cs="Arial"/>
                          <w:sz w:val="20"/>
                          <w:szCs w:val="22"/>
                        </w:rPr>
                        <w:t>MW</w:t>
                      </w:r>
                    </w:p>
                    <w:p w14:paraId="652CE2E9" w14:textId="77777777" w:rsidR="00353C5E" w:rsidRPr="00F81B0A" w:rsidRDefault="00353C5E" w:rsidP="00E06A62">
                      <w:pPr>
                        <w:tabs>
                          <w:tab w:val="right" w:pos="9498"/>
                          <w:tab w:val="right" w:pos="9639"/>
                        </w:tabs>
                        <w:jc w:val="right"/>
                        <w:rPr>
                          <w:rFonts w:ascii="Arial" w:hAnsi="Arial" w:cs="Arial"/>
                          <w:sz w:val="22"/>
                          <w:szCs w:val="22"/>
                        </w:rPr>
                      </w:pPr>
                    </w:p>
                  </w:txbxContent>
                </v:textbox>
              </v:shape>
            </w:pict>
          </mc:Fallback>
        </mc:AlternateContent>
      </w:r>
      <w:r>
        <w:rPr>
          <w:noProof/>
          <w:lang w:eastAsia="en-GB"/>
        </w:rPr>
        <mc:AlternateContent>
          <mc:Choice Requires="wps">
            <w:drawing>
              <wp:anchor distT="0" distB="0" distL="114300" distR="114300" simplePos="0" relativeHeight="251659264" behindDoc="0" locked="0" layoutInCell="1" allowOverlap="1" wp14:anchorId="7F30049C" wp14:editId="702DBE05">
                <wp:simplePos x="0" y="0"/>
                <wp:positionH relativeFrom="column">
                  <wp:posOffset>249555</wp:posOffset>
                </wp:positionH>
                <wp:positionV relativeFrom="paragraph">
                  <wp:posOffset>-105410</wp:posOffset>
                </wp:positionV>
                <wp:extent cx="3676650" cy="10287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0" cy="1028700"/>
                        </a:xfrm>
                        <a:prstGeom prst="rect">
                          <a:avLst/>
                        </a:prstGeom>
                        <a:solidFill>
                          <a:srgbClr val="FFFFFF"/>
                        </a:solidFill>
                        <a:ln>
                          <a:noFill/>
                        </a:ln>
                        <a:extLst>
                          <a:ext uri="{91240B29-F687-4f45-9708-019B960494DF}"/>
                        </a:extLst>
                      </wps:spPr>
                      <wps:txbx>
                        <w:txbxContent>
                          <w:p w14:paraId="00852354" w14:textId="77777777" w:rsidR="00353C5E" w:rsidRPr="00380FDA" w:rsidRDefault="00353C5E" w:rsidP="00FE3C28">
                            <w:pPr>
                              <w:spacing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30049C" id="_x0000_t202" coordsize="21600,21600" o:spt="202" path="m,l,21600r21600,l21600,xe">
                <v:stroke joinstyle="miter"/>
                <v:path gradientshapeok="t" o:connecttype="rect"/>
              </v:shapetype>
              <v:shape id="Text Box 3" o:spid="_x0000_s1027" type="#_x0000_t202" style="position:absolute;left:0;text-align:left;margin-left:19.65pt;margin-top:-8.3pt;width:289.5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" stroked="f">
                <v:textbox>
                  <w:txbxContent>
                    <w:p w14:paraId="00852354" w14:textId="77777777" w:rsidR="00353C5E" w:rsidRPr="00380FDA" w:rsidRDefault="00353C5E" w:rsidP="00FE3C28">
                      <w:pPr>
                        <w:spacing w:line="240" w:lineRule="auto"/>
                        <w:rPr>
                          <w:rFonts w:ascii="Arial" w:hAnsi="Arial" w:cs="Arial"/>
                          <w:sz w:val="20"/>
                          <w:szCs w:val="20"/>
                        </w:rPr>
                      </w:pPr>
                    </w:p>
                  </w:txbxContent>
                </v:textbox>
              </v:shape>
            </w:pict>
          </mc:Fallback>
        </mc:AlternateContent>
      </w:r>
    </w:p>
    <w:p w14:paraId="1722AB18" w14:textId="77777777" w:rsidR="00353C5E" w:rsidRPr="00FE3C28" w:rsidRDefault="00353C5E" w:rsidP="00FE3C28">
      <w:pPr>
        <w:tabs>
          <w:tab w:val="left" w:pos="10206"/>
        </w:tabs>
        <w:ind w:left="567" w:right="560"/>
        <w:rPr>
          <w:rFonts w:ascii="Arial" w:hAnsi="Arial" w:cs="Arial"/>
          <w:sz w:val="22"/>
          <w:szCs w:val="22"/>
        </w:rPr>
      </w:pPr>
    </w:p>
    <w:p w14:paraId="280A6EA5" w14:textId="77777777" w:rsidR="00353C5E" w:rsidRPr="00FE3C28" w:rsidRDefault="00353C5E" w:rsidP="00FE3C28">
      <w:pPr>
        <w:tabs>
          <w:tab w:val="left" w:pos="10206"/>
        </w:tabs>
        <w:ind w:left="567" w:right="560"/>
        <w:rPr>
          <w:rFonts w:ascii="Arial" w:hAnsi="Arial" w:cs="Arial"/>
          <w:sz w:val="22"/>
          <w:szCs w:val="22"/>
        </w:rPr>
      </w:pPr>
    </w:p>
    <w:p w14:paraId="334368E3" w14:textId="77777777" w:rsidR="00353C5E" w:rsidRPr="006165AA" w:rsidRDefault="00353C5E" w:rsidP="004B1A2F">
      <w:pPr>
        <w:jc w:val="both"/>
        <w:rPr>
          <w:rFonts w:ascii="Arial" w:hAnsi="Arial" w:cs="Arial"/>
          <w:b/>
          <w:sz w:val="21"/>
          <w:szCs w:val="21"/>
        </w:rPr>
      </w:pPr>
    </w:p>
    <w:p w14:paraId="3C1BA81A" w14:textId="77777777" w:rsidR="00274427" w:rsidRDefault="00274427" w:rsidP="002C066B">
      <w:pPr>
        <w:tabs>
          <w:tab w:val="left" w:pos="1276"/>
          <w:tab w:val="left" w:pos="9923"/>
        </w:tabs>
        <w:spacing w:line="240" w:lineRule="auto"/>
        <w:ind w:left="567" w:right="703"/>
        <w:jc w:val="both"/>
        <w:rPr>
          <w:rFonts w:ascii="Arial" w:hAnsi="Arial" w:cs="Arial"/>
          <w:b/>
          <w:color w:val="000000" w:themeColor="text1"/>
          <w:sz w:val="22"/>
          <w:szCs w:val="22"/>
        </w:rPr>
      </w:pPr>
    </w:p>
    <w:p w14:paraId="4E3A5E2D" w14:textId="77777777" w:rsidR="0008055C" w:rsidRDefault="0008055C" w:rsidP="002C066B">
      <w:pPr>
        <w:tabs>
          <w:tab w:val="left" w:pos="1276"/>
          <w:tab w:val="left" w:pos="9923"/>
        </w:tabs>
        <w:spacing w:line="240" w:lineRule="auto"/>
        <w:ind w:left="567" w:right="703"/>
        <w:jc w:val="both"/>
        <w:rPr>
          <w:rFonts w:ascii="Arial" w:hAnsi="Arial" w:cs="Arial"/>
          <w:b/>
          <w:color w:val="000000" w:themeColor="text1"/>
          <w:sz w:val="22"/>
          <w:szCs w:val="22"/>
        </w:rPr>
      </w:pPr>
    </w:p>
    <w:p w14:paraId="303BBD70" w14:textId="77777777" w:rsidR="0008055C" w:rsidRPr="00065A9E" w:rsidRDefault="0008055C" w:rsidP="00F03D6D">
      <w:pPr>
        <w:tabs>
          <w:tab w:val="left" w:pos="1276"/>
          <w:tab w:val="left" w:pos="9923"/>
        </w:tabs>
        <w:spacing w:line="240" w:lineRule="auto"/>
        <w:ind w:left="567" w:right="703"/>
        <w:jc w:val="both"/>
        <w:rPr>
          <w:rFonts w:ascii="Arial" w:hAnsi="Arial" w:cs="Arial"/>
          <w:b/>
          <w:color w:val="000000" w:themeColor="text1"/>
          <w:sz w:val="21"/>
          <w:szCs w:val="21"/>
        </w:rPr>
      </w:pPr>
    </w:p>
    <w:p w14:paraId="0C0CCCE8" w14:textId="77777777" w:rsidR="00353C5E" w:rsidRPr="00065A9E" w:rsidRDefault="00353C5E" w:rsidP="00F03D6D">
      <w:pPr>
        <w:tabs>
          <w:tab w:val="left" w:pos="1276"/>
          <w:tab w:val="left" w:pos="9923"/>
        </w:tabs>
        <w:spacing w:line="240" w:lineRule="auto"/>
        <w:ind w:left="567" w:right="703"/>
        <w:jc w:val="both"/>
        <w:rPr>
          <w:rFonts w:ascii="Arial" w:hAnsi="Arial" w:cs="Arial"/>
          <w:b/>
          <w:color w:val="000000" w:themeColor="text1"/>
          <w:sz w:val="21"/>
          <w:szCs w:val="21"/>
        </w:rPr>
      </w:pPr>
      <w:r w:rsidRPr="00065A9E">
        <w:rPr>
          <w:rFonts w:ascii="Arial" w:hAnsi="Arial" w:cs="Arial"/>
          <w:b/>
          <w:color w:val="000000" w:themeColor="text1"/>
          <w:sz w:val="21"/>
          <w:szCs w:val="21"/>
        </w:rPr>
        <w:t>To:</w:t>
      </w:r>
      <w:r w:rsidRPr="00065A9E">
        <w:rPr>
          <w:rFonts w:ascii="Arial" w:hAnsi="Arial" w:cs="Arial"/>
          <w:b/>
          <w:color w:val="000000" w:themeColor="text1"/>
          <w:sz w:val="21"/>
          <w:szCs w:val="21"/>
        </w:rPr>
        <w:tab/>
      </w:r>
      <w:r w:rsidRPr="00065A9E">
        <w:rPr>
          <w:rFonts w:ascii="Arial" w:hAnsi="Arial" w:cs="Arial"/>
          <w:color w:val="000000" w:themeColor="text1"/>
          <w:sz w:val="21"/>
          <w:szCs w:val="21"/>
        </w:rPr>
        <w:t>All Members</w:t>
      </w:r>
    </w:p>
    <w:p w14:paraId="621DA37D" w14:textId="77777777" w:rsidR="00353C5E" w:rsidRPr="00065A9E" w:rsidRDefault="00353C5E" w:rsidP="00020CFE">
      <w:pPr>
        <w:tabs>
          <w:tab w:val="left" w:pos="1276"/>
          <w:tab w:val="left" w:pos="9923"/>
        </w:tabs>
        <w:spacing w:line="240" w:lineRule="auto"/>
        <w:ind w:left="567" w:right="703"/>
        <w:jc w:val="both"/>
        <w:rPr>
          <w:rFonts w:ascii="Arial" w:hAnsi="Arial" w:cs="Arial"/>
          <w:b/>
          <w:color w:val="000000" w:themeColor="text1"/>
          <w:sz w:val="21"/>
          <w:szCs w:val="21"/>
        </w:rPr>
      </w:pPr>
    </w:p>
    <w:p w14:paraId="7EDF4A66" w14:textId="77777777" w:rsidR="0008055C" w:rsidRPr="00065A9E" w:rsidRDefault="0008055C" w:rsidP="00020CFE">
      <w:pPr>
        <w:tabs>
          <w:tab w:val="left" w:pos="1276"/>
          <w:tab w:val="left" w:pos="9923"/>
        </w:tabs>
        <w:spacing w:line="240" w:lineRule="auto"/>
        <w:ind w:left="567" w:right="703"/>
        <w:jc w:val="both"/>
        <w:rPr>
          <w:rFonts w:ascii="Arial" w:hAnsi="Arial" w:cs="Arial"/>
          <w:b/>
          <w:color w:val="000000" w:themeColor="text1"/>
          <w:sz w:val="21"/>
          <w:szCs w:val="21"/>
        </w:rPr>
      </w:pPr>
    </w:p>
    <w:p w14:paraId="2615EFFE" w14:textId="4DAA2031" w:rsidR="00353C5E" w:rsidRPr="00065A9E" w:rsidRDefault="00353C5E" w:rsidP="00020CFE">
      <w:pPr>
        <w:tabs>
          <w:tab w:val="left" w:pos="1276"/>
          <w:tab w:val="left" w:pos="9781"/>
          <w:tab w:val="left" w:pos="9923"/>
        </w:tabs>
        <w:spacing w:line="240" w:lineRule="auto"/>
        <w:ind w:left="567" w:right="701"/>
        <w:jc w:val="both"/>
        <w:rPr>
          <w:rFonts w:ascii="Arial" w:hAnsi="Arial" w:cs="Arial"/>
          <w:color w:val="000000" w:themeColor="text1"/>
          <w:sz w:val="21"/>
          <w:szCs w:val="21"/>
        </w:rPr>
      </w:pPr>
      <w:r w:rsidRPr="00065A9E">
        <w:rPr>
          <w:rFonts w:ascii="Arial" w:hAnsi="Arial" w:cs="Arial"/>
          <w:b/>
          <w:color w:val="000000" w:themeColor="text1"/>
          <w:sz w:val="21"/>
          <w:szCs w:val="21"/>
        </w:rPr>
        <w:t xml:space="preserve">Date: </w:t>
      </w:r>
      <w:r w:rsidRPr="00065A9E">
        <w:rPr>
          <w:rFonts w:ascii="Arial" w:hAnsi="Arial" w:cs="Arial"/>
          <w:b/>
          <w:color w:val="000000" w:themeColor="text1"/>
          <w:sz w:val="21"/>
          <w:szCs w:val="21"/>
        </w:rPr>
        <w:tab/>
      </w:r>
      <w:r w:rsidR="00E06E92">
        <w:rPr>
          <w:rFonts w:ascii="Arial" w:hAnsi="Arial" w:cs="Arial"/>
          <w:color w:val="000000" w:themeColor="text1"/>
          <w:sz w:val="21"/>
          <w:szCs w:val="21"/>
        </w:rPr>
        <w:t>21</w:t>
      </w:r>
      <w:r w:rsidR="00F03D6D" w:rsidRPr="00065A9E">
        <w:rPr>
          <w:rFonts w:ascii="Arial" w:hAnsi="Arial" w:cs="Arial"/>
          <w:color w:val="000000" w:themeColor="text1"/>
          <w:sz w:val="21"/>
          <w:szCs w:val="21"/>
        </w:rPr>
        <w:t xml:space="preserve"> March</w:t>
      </w:r>
      <w:r w:rsidRPr="00065A9E">
        <w:rPr>
          <w:rFonts w:ascii="Arial" w:hAnsi="Arial" w:cs="Arial"/>
          <w:color w:val="000000" w:themeColor="text1"/>
          <w:sz w:val="21"/>
          <w:szCs w:val="21"/>
        </w:rPr>
        <w:t xml:space="preserve"> 2017</w:t>
      </w:r>
    </w:p>
    <w:p w14:paraId="32A4A73C" w14:textId="77777777" w:rsidR="00AF03B7" w:rsidRPr="00065A9E" w:rsidRDefault="00AF03B7" w:rsidP="00020CFE">
      <w:pPr>
        <w:tabs>
          <w:tab w:val="left" w:pos="1276"/>
          <w:tab w:val="left" w:pos="9781"/>
          <w:tab w:val="left" w:pos="9923"/>
        </w:tabs>
        <w:spacing w:line="240" w:lineRule="auto"/>
        <w:ind w:left="567" w:right="560"/>
        <w:jc w:val="both"/>
        <w:rPr>
          <w:rFonts w:ascii="Arial" w:hAnsi="Arial" w:cs="Arial"/>
          <w:color w:val="000000" w:themeColor="text1"/>
          <w:sz w:val="21"/>
          <w:szCs w:val="21"/>
        </w:rPr>
      </w:pPr>
    </w:p>
    <w:p w14:paraId="71B078F8" w14:textId="77777777" w:rsidR="00274427" w:rsidRPr="00065A9E" w:rsidRDefault="00274427" w:rsidP="00020CFE">
      <w:pPr>
        <w:tabs>
          <w:tab w:val="left" w:pos="1276"/>
          <w:tab w:val="left" w:pos="9781"/>
          <w:tab w:val="left" w:pos="9923"/>
        </w:tabs>
        <w:spacing w:line="240" w:lineRule="auto"/>
        <w:ind w:left="567" w:right="560"/>
        <w:jc w:val="both"/>
        <w:rPr>
          <w:rFonts w:ascii="Arial" w:hAnsi="Arial" w:cs="Arial"/>
          <w:color w:val="000000" w:themeColor="text1"/>
          <w:sz w:val="21"/>
          <w:szCs w:val="21"/>
        </w:rPr>
      </w:pPr>
    </w:p>
    <w:p w14:paraId="1A1DA993" w14:textId="77777777" w:rsidR="00274427" w:rsidRPr="00065A9E" w:rsidRDefault="00274427" w:rsidP="00020CFE">
      <w:pPr>
        <w:tabs>
          <w:tab w:val="left" w:pos="1276"/>
          <w:tab w:val="left" w:pos="9781"/>
          <w:tab w:val="left" w:pos="9923"/>
        </w:tabs>
        <w:spacing w:line="240" w:lineRule="auto"/>
        <w:ind w:left="567" w:right="560"/>
        <w:jc w:val="both"/>
        <w:rPr>
          <w:rFonts w:ascii="Arial" w:hAnsi="Arial" w:cs="Arial"/>
          <w:color w:val="000000" w:themeColor="text1"/>
          <w:sz w:val="21"/>
          <w:szCs w:val="21"/>
        </w:rPr>
      </w:pPr>
    </w:p>
    <w:p w14:paraId="7EFF1A08" w14:textId="77777777" w:rsidR="00AF03B7" w:rsidRPr="00065A9E" w:rsidRDefault="00AF03B7" w:rsidP="00020CFE">
      <w:pPr>
        <w:tabs>
          <w:tab w:val="left" w:pos="1276"/>
          <w:tab w:val="left" w:pos="9639"/>
          <w:tab w:val="left" w:pos="9781"/>
          <w:tab w:val="left" w:pos="9923"/>
        </w:tabs>
        <w:spacing w:line="240" w:lineRule="auto"/>
        <w:ind w:left="567" w:right="560"/>
        <w:jc w:val="both"/>
        <w:rPr>
          <w:rFonts w:ascii="Arial" w:hAnsi="Arial" w:cs="Arial"/>
          <w:color w:val="000000" w:themeColor="text1"/>
          <w:sz w:val="21"/>
          <w:szCs w:val="21"/>
        </w:rPr>
      </w:pPr>
      <w:r w:rsidRPr="00065A9E">
        <w:rPr>
          <w:rFonts w:ascii="Arial" w:hAnsi="Arial" w:cs="Arial"/>
          <w:color w:val="000000" w:themeColor="text1"/>
          <w:sz w:val="21"/>
          <w:szCs w:val="21"/>
        </w:rPr>
        <w:t>Dear Brother/Sister</w:t>
      </w:r>
    </w:p>
    <w:p w14:paraId="1B969680" w14:textId="77777777" w:rsidR="0070642E" w:rsidRPr="00065A9E" w:rsidRDefault="0070642E" w:rsidP="00020CFE">
      <w:pPr>
        <w:tabs>
          <w:tab w:val="left" w:pos="1276"/>
          <w:tab w:val="left" w:pos="9639"/>
          <w:tab w:val="left" w:pos="9781"/>
          <w:tab w:val="left" w:pos="9923"/>
        </w:tabs>
        <w:spacing w:line="240" w:lineRule="auto"/>
        <w:ind w:left="567" w:right="560"/>
        <w:jc w:val="both"/>
        <w:rPr>
          <w:rFonts w:ascii="Arial" w:hAnsi="Arial" w:cs="Arial"/>
          <w:b/>
          <w:color w:val="000000" w:themeColor="text1"/>
          <w:sz w:val="21"/>
          <w:szCs w:val="21"/>
          <w:u w:val="single"/>
        </w:rPr>
      </w:pPr>
    </w:p>
    <w:p w14:paraId="5614AB76" w14:textId="77777777" w:rsidR="00020CFE" w:rsidRPr="00065A9E" w:rsidRDefault="00020CFE" w:rsidP="00020CFE">
      <w:pPr>
        <w:pStyle w:val="PlainText"/>
        <w:ind w:left="567"/>
        <w:rPr>
          <w:rFonts w:ascii="Arial" w:hAnsi="Arial" w:cs="Arial"/>
          <w:b/>
          <w:sz w:val="21"/>
          <w:u w:val="single"/>
        </w:rPr>
      </w:pPr>
      <w:r w:rsidRPr="00065A9E">
        <w:rPr>
          <w:rFonts w:ascii="Arial" w:hAnsi="Arial" w:cs="Arial"/>
          <w:b/>
          <w:sz w:val="21"/>
          <w:u w:val="single"/>
        </w:rPr>
        <w:t xml:space="preserve">Pensions: discrimination case appeal is registered </w:t>
      </w:r>
    </w:p>
    <w:p w14:paraId="6ADD1CF1" w14:textId="77777777" w:rsidR="00020CFE" w:rsidRPr="00065A9E" w:rsidRDefault="00020CFE" w:rsidP="00020CFE">
      <w:pPr>
        <w:pStyle w:val="PlainText"/>
        <w:ind w:left="567"/>
        <w:rPr>
          <w:rFonts w:ascii="Arial" w:hAnsi="Arial" w:cs="Arial"/>
          <w:b/>
          <w:sz w:val="21"/>
          <w:u w:val="single"/>
        </w:rPr>
      </w:pPr>
    </w:p>
    <w:p w14:paraId="4C436924" w14:textId="384C7806" w:rsidR="00020CFE" w:rsidRPr="00065A9E" w:rsidRDefault="00020CFE" w:rsidP="00020CFE">
      <w:pPr>
        <w:pStyle w:val="PlainText"/>
        <w:ind w:left="567" w:right="560"/>
        <w:jc w:val="both"/>
        <w:rPr>
          <w:rFonts w:ascii="Arial" w:hAnsi="Arial" w:cs="Arial"/>
          <w:sz w:val="21"/>
          <w:lang w:val="de-DE"/>
        </w:rPr>
      </w:pPr>
      <w:r w:rsidRPr="00065A9E">
        <w:rPr>
          <w:rFonts w:ascii="Arial" w:hAnsi="Arial" w:cs="Arial"/>
          <w:sz w:val="21"/>
          <w:lang w:val="en-US"/>
        </w:rPr>
        <w:t xml:space="preserve">The FBU filed a Notice of Appeal on </w:t>
      </w:r>
      <w:r w:rsidRPr="00065A9E">
        <w:rPr>
          <w:rFonts w:ascii="Arial" w:hAnsi="Arial" w:cs="Arial"/>
          <w:sz w:val="21"/>
        </w:rPr>
        <w:t>17 March</w:t>
      </w:r>
      <w:r w:rsidRPr="00065A9E">
        <w:rPr>
          <w:rFonts w:ascii="Arial" w:hAnsi="Arial" w:cs="Arial"/>
          <w:sz w:val="21"/>
          <w:lang w:val="en-US"/>
        </w:rPr>
        <w:t>, seeking to set aside the decision made by the Employment Tribunal in the age discrimination claims made by more than 6,000 firefighters regarding the introduction of the 2015 Firefighters</w:t>
      </w:r>
      <w:r w:rsidRPr="00065A9E">
        <w:rPr>
          <w:rFonts w:ascii="Arial" w:hAnsi="Arial" w:cs="Arial"/>
          <w:sz w:val="21"/>
        </w:rPr>
        <w:t xml:space="preserve">’ </w:t>
      </w:r>
      <w:r w:rsidRPr="00065A9E">
        <w:rPr>
          <w:rFonts w:ascii="Arial" w:hAnsi="Arial" w:cs="Arial"/>
          <w:sz w:val="21"/>
          <w:lang w:val="de-DE"/>
        </w:rPr>
        <w:t>Pension Scheme.</w:t>
      </w:r>
    </w:p>
    <w:p w14:paraId="2246223E" w14:textId="77777777" w:rsidR="00020CFE" w:rsidRPr="00065A9E" w:rsidRDefault="00020CFE" w:rsidP="00020CFE">
      <w:pPr>
        <w:pStyle w:val="PlainText"/>
        <w:ind w:left="567" w:right="560"/>
        <w:jc w:val="both"/>
        <w:rPr>
          <w:rFonts w:ascii="Arial" w:hAnsi="Arial" w:cs="Arial"/>
          <w:sz w:val="21"/>
          <w:lang w:val="de-DE"/>
        </w:rPr>
      </w:pPr>
    </w:p>
    <w:p w14:paraId="7C72F5A6" w14:textId="6152C357" w:rsidR="00020CFE" w:rsidRPr="00065A9E" w:rsidRDefault="00E06E92" w:rsidP="00020CFE">
      <w:pPr>
        <w:pStyle w:val="PlainText"/>
        <w:ind w:left="567" w:right="560"/>
        <w:jc w:val="both"/>
        <w:rPr>
          <w:rFonts w:ascii="Arial" w:hAnsi="Arial" w:cs="Arial"/>
          <w:sz w:val="21"/>
          <w:lang w:val="en-US"/>
        </w:rPr>
      </w:pPr>
      <w:r>
        <w:rPr>
          <w:rFonts w:ascii="Arial" w:hAnsi="Arial" w:cs="Arial"/>
          <w:sz w:val="21"/>
          <w:lang w:val="en-US"/>
        </w:rPr>
        <w:t xml:space="preserve">The legal argument is </w:t>
      </w:r>
      <w:r w:rsidR="00020CFE" w:rsidRPr="00065A9E">
        <w:rPr>
          <w:rFonts w:ascii="Arial" w:hAnsi="Arial" w:cs="Arial"/>
          <w:sz w:val="21"/>
          <w:lang w:val="en-US"/>
        </w:rPr>
        <w:t>that the transitional provisions, which permit older firefighters to remain in the older, and significantly better, 1992 Firefighters</w:t>
      </w:r>
      <w:r w:rsidR="00020CFE" w:rsidRPr="00065A9E">
        <w:rPr>
          <w:rFonts w:ascii="Arial" w:hAnsi="Arial" w:cs="Arial"/>
          <w:sz w:val="21"/>
        </w:rPr>
        <w:t xml:space="preserve">’ </w:t>
      </w:r>
      <w:r w:rsidR="00020CFE" w:rsidRPr="00065A9E">
        <w:rPr>
          <w:rFonts w:ascii="Arial" w:hAnsi="Arial" w:cs="Arial"/>
          <w:sz w:val="21"/>
          <w:lang w:val="en-US"/>
        </w:rPr>
        <w:t>Pension Scheme, discriminate on the grounds of age and cannot be justified. Younger firefighters who were members of the 1992 Scheme had just as good a case as their older colleagues in retaining the former, better pension arrangements. The Government argues that it is legitimate to provide protection for members who are closer to retirement age. The FBU</w:t>
      </w:r>
      <w:r w:rsidR="00020CFE" w:rsidRPr="00065A9E">
        <w:rPr>
          <w:rFonts w:ascii="Arial" w:hAnsi="Arial" w:cs="Arial"/>
          <w:sz w:val="21"/>
        </w:rPr>
        <w:t>’</w:t>
      </w:r>
      <w:r w:rsidR="00020CFE" w:rsidRPr="00065A9E">
        <w:rPr>
          <w:rFonts w:ascii="Arial" w:hAnsi="Arial" w:cs="Arial"/>
          <w:sz w:val="21"/>
          <w:lang w:val="en-US"/>
        </w:rPr>
        <w:t>s response is that protecting someone who is nearer to retirement from the pension changes is just another way of saying that the Government wants to protect older workers, and that is exactly what the age discrimination legislation prohibits. In fact, it can be argued that the older workers have less need of protection because they will suffer from the new pension arrangements for a shorter period of time and have already built up a larger pension under the old terms.</w:t>
      </w:r>
    </w:p>
    <w:p w14:paraId="769991BB" w14:textId="77777777" w:rsidR="00020CFE" w:rsidRPr="00065A9E" w:rsidRDefault="00020CFE" w:rsidP="00020CFE">
      <w:pPr>
        <w:pStyle w:val="PlainText"/>
        <w:ind w:left="567" w:right="560"/>
        <w:jc w:val="both"/>
        <w:rPr>
          <w:rFonts w:ascii="Arial" w:hAnsi="Arial" w:cs="Arial"/>
          <w:sz w:val="21"/>
          <w:lang w:val="en-US"/>
        </w:rPr>
      </w:pPr>
    </w:p>
    <w:p w14:paraId="3B46D104" w14:textId="3B4E02C8" w:rsidR="00020CFE" w:rsidRPr="00065A9E" w:rsidRDefault="00020CFE" w:rsidP="00020CFE">
      <w:pPr>
        <w:pStyle w:val="PlainText"/>
        <w:ind w:left="567" w:right="560"/>
        <w:jc w:val="both"/>
        <w:rPr>
          <w:rFonts w:ascii="Arial" w:hAnsi="Arial" w:cs="Arial"/>
          <w:sz w:val="21"/>
          <w:lang w:val="en-US"/>
        </w:rPr>
      </w:pPr>
      <w:r w:rsidRPr="00065A9E">
        <w:rPr>
          <w:rFonts w:ascii="Arial" w:hAnsi="Arial" w:cs="Arial"/>
          <w:sz w:val="21"/>
          <w:lang w:val="en-US"/>
        </w:rPr>
        <w:t xml:space="preserve">The Employment Tribunal did not agree. It concluded that the introduction of the new pension scheme was a social policy aim of the Government, affecting all public service employees, and European law </w:t>
      </w:r>
      <w:proofErr w:type="gramStart"/>
      <w:r w:rsidRPr="00065A9E">
        <w:rPr>
          <w:rFonts w:ascii="Arial" w:hAnsi="Arial" w:cs="Arial"/>
          <w:sz w:val="21"/>
          <w:lang w:val="en-US"/>
        </w:rPr>
        <w:t>allows</w:t>
      </w:r>
      <w:proofErr w:type="gramEnd"/>
      <w:r w:rsidRPr="00065A9E">
        <w:rPr>
          <w:rFonts w:ascii="Arial" w:hAnsi="Arial" w:cs="Arial"/>
          <w:sz w:val="21"/>
          <w:lang w:val="en-US"/>
        </w:rPr>
        <w:t xml:space="preserve"> member States a wide discretion when deciding their social policy objectives.</w:t>
      </w:r>
    </w:p>
    <w:p w14:paraId="2D2B0EFE" w14:textId="77777777" w:rsidR="00020CFE" w:rsidRPr="00065A9E" w:rsidRDefault="00020CFE" w:rsidP="00020CFE">
      <w:pPr>
        <w:pStyle w:val="PlainText"/>
        <w:ind w:left="567" w:right="560"/>
        <w:jc w:val="both"/>
        <w:rPr>
          <w:rFonts w:ascii="Arial" w:hAnsi="Arial" w:cs="Arial"/>
          <w:sz w:val="21"/>
          <w:lang w:val="en-US"/>
        </w:rPr>
      </w:pPr>
    </w:p>
    <w:p w14:paraId="771E5DA3" w14:textId="77777777" w:rsidR="00020CFE" w:rsidRPr="00065A9E" w:rsidRDefault="00020CFE" w:rsidP="00020CFE">
      <w:pPr>
        <w:pStyle w:val="PlainText"/>
        <w:ind w:left="567" w:right="560"/>
        <w:jc w:val="both"/>
        <w:rPr>
          <w:rFonts w:ascii="Arial" w:hAnsi="Arial" w:cs="Arial"/>
          <w:b/>
          <w:sz w:val="21"/>
        </w:rPr>
      </w:pPr>
      <w:r w:rsidRPr="00065A9E">
        <w:rPr>
          <w:rFonts w:ascii="Arial" w:hAnsi="Arial" w:cs="Arial"/>
          <w:b/>
          <w:sz w:val="21"/>
        </w:rPr>
        <w:t>The grounds of appeal</w:t>
      </w:r>
    </w:p>
    <w:p w14:paraId="5AD0B3B4" w14:textId="77777777" w:rsidR="00020CFE" w:rsidRPr="00065A9E" w:rsidRDefault="00020CFE" w:rsidP="00020CFE">
      <w:pPr>
        <w:pStyle w:val="PlainText"/>
        <w:ind w:left="567" w:right="560"/>
        <w:jc w:val="both"/>
        <w:rPr>
          <w:rFonts w:ascii="Arial" w:hAnsi="Arial" w:cs="Arial"/>
          <w:sz w:val="21"/>
        </w:rPr>
      </w:pPr>
    </w:p>
    <w:p w14:paraId="49654333" w14:textId="77777777" w:rsidR="00020CFE" w:rsidRPr="00065A9E" w:rsidRDefault="00020CFE" w:rsidP="00020CFE">
      <w:pPr>
        <w:pStyle w:val="PlainText"/>
        <w:ind w:left="567" w:right="560"/>
        <w:jc w:val="both"/>
        <w:rPr>
          <w:rFonts w:ascii="Arial" w:hAnsi="Arial" w:cs="Arial"/>
          <w:sz w:val="21"/>
          <w:lang w:val="en-US"/>
        </w:rPr>
      </w:pPr>
      <w:r w:rsidRPr="00065A9E">
        <w:rPr>
          <w:rFonts w:ascii="Arial" w:hAnsi="Arial" w:cs="Arial"/>
          <w:sz w:val="21"/>
          <w:lang w:val="en-US"/>
        </w:rPr>
        <w:t>The FBU</w:t>
      </w:r>
      <w:r w:rsidRPr="00065A9E">
        <w:rPr>
          <w:rFonts w:ascii="Arial" w:hAnsi="Arial" w:cs="Arial"/>
          <w:sz w:val="21"/>
        </w:rPr>
        <w:t>’</w:t>
      </w:r>
      <w:r w:rsidRPr="00065A9E">
        <w:rPr>
          <w:rFonts w:ascii="Arial" w:hAnsi="Arial" w:cs="Arial"/>
          <w:sz w:val="21"/>
          <w:lang w:val="en-US"/>
        </w:rPr>
        <w:t>s Notice of Appeal lists 21 separate errors of law in the Employment Tribunal</w:t>
      </w:r>
      <w:r w:rsidRPr="00065A9E">
        <w:rPr>
          <w:rFonts w:ascii="Arial" w:hAnsi="Arial" w:cs="Arial"/>
          <w:sz w:val="21"/>
        </w:rPr>
        <w:t>’</w:t>
      </w:r>
      <w:r w:rsidRPr="00065A9E">
        <w:rPr>
          <w:rFonts w:ascii="Arial" w:hAnsi="Arial" w:cs="Arial"/>
          <w:sz w:val="21"/>
          <w:lang w:val="en-US"/>
        </w:rPr>
        <w:t>s decision. In summary, the FBU says:</w:t>
      </w:r>
    </w:p>
    <w:p w14:paraId="5F0DA83B" w14:textId="77777777" w:rsidR="00020CFE" w:rsidRPr="00065A9E" w:rsidRDefault="00020CFE" w:rsidP="00020CFE">
      <w:pPr>
        <w:pStyle w:val="PlainText"/>
        <w:ind w:left="567"/>
        <w:jc w:val="both"/>
        <w:rPr>
          <w:rFonts w:ascii="Arial" w:hAnsi="Arial" w:cs="Arial"/>
          <w:sz w:val="21"/>
          <w:lang w:val="en-US"/>
        </w:rPr>
      </w:pPr>
    </w:p>
    <w:p w14:paraId="1F4102D7" w14:textId="4CCFE83F" w:rsidR="00020CFE" w:rsidRPr="00065A9E" w:rsidRDefault="00020CFE" w:rsidP="00020CFE">
      <w:pPr>
        <w:pStyle w:val="PlainText"/>
        <w:numPr>
          <w:ilvl w:val="0"/>
          <w:numId w:val="25"/>
        </w:numPr>
        <w:tabs>
          <w:tab w:val="left" w:pos="993"/>
        </w:tabs>
        <w:ind w:left="993" w:right="560" w:hanging="426"/>
        <w:jc w:val="both"/>
        <w:rPr>
          <w:rFonts w:ascii="Arial" w:hAnsi="Arial" w:cs="Arial"/>
          <w:sz w:val="21"/>
        </w:rPr>
      </w:pPr>
      <w:r w:rsidRPr="00065A9E">
        <w:rPr>
          <w:rFonts w:ascii="Arial" w:hAnsi="Arial" w:cs="Arial"/>
          <w:sz w:val="21"/>
          <w:lang w:val="en-US"/>
        </w:rPr>
        <w:t>These claims are about how the Government treats public employees, not wider social policy. The Government has no wider discretion to discriminate than any other employer.</w:t>
      </w:r>
    </w:p>
    <w:p w14:paraId="24C5C3A3" w14:textId="77777777" w:rsidR="00065A9E" w:rsidRDefault="00065A9E" w:rsidP="00065A9E">
      <w:pPr>
        <w:pStyle w:val="PlainText"/>
        <w:tabs>
          <w:tab w:val="left" w:pos="993"/>
        </w:tabs>
        <w:ind w:right="560"/>
        <w:jc w:val="both"/>
        <w:rPr>
          <w:rFonts w:ascii="Arial" w:hAnsi="Arial" w:cs="Arial"/>
          <w:sz w:val="21"/>
          <w:lang w:val="en-US"/>
        </w:rPr>
      </w:pPr>
    </w:p>
    <w:p w14:paraId="51EF15F6" w14:textId="77777777" w:rsidR="00065A9E" w:rsidRDefault="00065A9E" w:rsidP="00065A9E">
      <w:pPr>
        <w:pStyle w:val="PlainText"/>
        <w:tabs>
          <w:tab w:val="left" w:pos="993"/>
        </w:tabs>
        <w:ind w:right="560"/>
        <w:jc w:val="both"/>
        <w:rPr>
          <w:rFonts w:ascii="Arial" w:hAnsi="Arial" w:cs="Arial"/>
          <w:sz w:val="21"/>
          <w:lang w:val="en-US"/>
        </w:rPr>
      </w:pPr>
    </w:p>
    <w:p w14:paraId="5C2A5EB9" w14:textId="06889E48" w:rsidR="00065A9E" w:rsidRDefault="00065A9E" w:rsidP="00065A9E">
      <w:pPr>
        <w:pStyle w:val="PlainText"/>
        <w:tabs>
          <w:tab w:val="left" w:pos="993"/>
        </w:tabs>
        <w:ind w:right="560"/>
        <w:jc w:val="right"/>
        <w:rPr>
          <w:rFonts w:ascii="Arial" w:hAnsi="Arial" w:cs="Arial"/>
          <w:sz w:val="21"/>
          <w:lang w:val="en-US"/>
        </w:rPr>
      </w:pPr>
      <w:proofErr w:type="spellStart"/>
      <w:r>
        <w:rPr>
          <w:rFonts w:ascii="Arial" w:hAnsi="Arial" w:cs="Arial"/>
          <w:sz w:val="21"/>
          <w:lang w:val="en-US"/>
        </w:rPr>
        <w:t>Contd</w:t>
      </w:r>
      <w:proofErr w:type="spellEnd"/>
      <w:r>
        <w:rPr>
          <w:rFonts w:ascii="Arial" w:hAnsi="Arial" w:cs="Arial"/>
          <w:sz w:val="21"/>
          <w:lang w:val="en-US"/>
        </w:rPr>
        <w:t>/2…</w:t>
      </w:r>
    </w:p>
    <w:p w14:paraId="422CD612" w14:textId="77777777" w:rsidR="00065A9E" w:rsidRDefault="00065A9E" w:rsidP="00065A9E">
      <w:pPr>
        <w:pStyle w:val="PlainText"/>
        <w:tabs>
          <w:tab w:val="left" w:pos="993"/>
        </w:tabs>
        <w:ind w:right="560"/>
        <w:jc w:val="right"/>
        <w:rPr>
          <w:rFonts w:ascii="Arial" w:hAnsi="Arial" w:cs="Arial"/>
          <w:sz w:val="21"/>
          <w:lang w:val="en-US"/>
        </w:rPr>
      </w:pPr>
    </w:p>
    <w:p w14:paraId="4D1D46EE" w14:textId="77777777" w:rsidR="00065A9E" w:rsidRDefault="00065A9E" w:rsidP="00065A9E">
      <w:pPr>
        <w:pStyle w:val="PlainText"/>
        <w:tabs>
          <w:tab w:val="left" w:pos="993"/>
        </w:tabs>
        <w:ind w:right="560"/>
        <w:jc w:val="right"/>
        <w:rPr>
          <w:rFonts w:ascii="Arial" w:hAnsi="Arial" w:cs="Arial"/>
          <w:sz w:val="21"/>
          <w:lang w:val="en-US"/>
        </w:rPr>
      </w:pPr>
    </w:p>
    <w:p w14:paraId="773702DB" w14:textId="77777777" w:rsidR="00065A9E" w:rsidRDefault="00065A9E" w:rsidP="00065A9E">
      <w:pPr>
        <w:pStyle w:val="PlainText"/>
        <w:tabs>
          <w:tab w:val="left" w:pos="993"/>
        </w:tabs>
        <w:ind w:right="560"/>
        <w:jc w:val="right"/>
        <w:rPr>
          <w:rFonts w:ascii="Arial" w:hAnsi="Arial" w:cs="Arial"/>
          <w:sz w:val="21"/>
          <w:lang w:val="en-US"/>
        </w:rPr>
      </w:pPr>
    </w:p>
    <w:p w14:paraId="763F146A" w14:textId="1B0DDF88" w:rsidR="00020CFE" w:rsidRDefault="00020CFE" w:rsidP="00065A9E">
      <w:pPr>
        <w:pStyle w:val="PlainText"/>
        <w:tabs>
          <w:tab w:val="left" w:pos="993"/>
        </w:tabs>
        <w:ind w:right="560"/>
        <w:rPr>
          <w:rFonts w:ascii="Arial" w:hAnsi="Arial" w:cs="Arial"/>
          <w:sz w:val="21"/>
          <w:lang w:val="en-US"/>
        </w:rPr>
      </w:pPr>
    </w:p>
    <w:p w14:paraId="7E451482" w14:textId="3B30B098" w:rsidR="00065A9E" w:rsidRDefault="00065A9E" w:rsidP="00065A9E">
      <w:pPr>
        <w:pStyle w:val="ListParagraph"/>
        <w:keepNext/>
        <w:keepLines/>
        <w:pBdr>
          <w:top w:val="nil"/>
          <w:left w:val="nil"/>
          <w:bottom w:val="nil"/>
          <w:right w:val="nil"/>
          <w:between w:val="nil"/>
          <w:bar w:val="nil"/>
        </w:pBdr>
        <w:tabs>
          <w:tab w:val="left" w:pos="993"/>
        </w:tabs>
        <w:spacing w:after="0" w:line="240" w:lineRule="auto"/>
        <w:ind w:left="993" w:right="560"/>
        <w:jc w:val="center"/>
        <w:rPr>
          <w:rFonts w:ascii="Arial" w:hAnsi="Arial" w:cs="Arial"/>
          <w:sz w:val="21"/>
          <w:szCs w:val="21"/>
        </w:rPr>
      </w:pPr>
      <w:r>
        <w:rPr>
          <w:rFonts w:ascii="Arial" w:hAnsi="Arial" w:cs="Arial"/>
          <w:sz w:val="21"/>
          <w:szCs w:val="21"/>
        </w:rPr>
        <w:lastRenderedPageBreak/>
        <w:t>-2-</w:t>
      </w:r>
    </w:p>
    <w:p w14:paraId="55F38A50" w14:textId="77777777" w:rsidR="00065A9E" w:rsidRPr="00065A9E" w:rsidRDefault="00065A9E" w:rsidP="00065A9E">
      <w:pPr>
        <w:pStyle w:val="ListParagraph"/>
        <w:keepNext/>
        <w:keepLines/>
        <w:pBdr>
          <w:top w:val="nil"/>
          <w:left w:val="nil"/>
          <w:bottom w:val="nil"/>
          <w:right w:val="nil"/>
          <w:between w:val="nil"/>
          <w:bar w:val="nil"/>
        </w:pBdr>
        <w:tabs>
          <w:tab w:val="left" w:pos="993"/>
        </w:tabs>
        <w:spacing w:after="0" w:line="240" w:lineRule="auto"/>
        <w:ind w:left="993" w:right="560"/>
        <w:jc w:val="center"/>
        <w:rPr>
          <w:rFonts w:ascii="Arial" w:hAnsi="Arial" w:cs="Arial"/>
          <w:sz w:val="21"/>
          <w:szCs w:val="21"/>
        </w:rPr>
      </w:pPr>
    </w:p>
    <w:p w14:paraId="22D6F21F" w14:textId="672CDCCD" w:rsidR="00020CFE" w:rsidRPr="00065A9E" w:rsidRDefault="00020CFE" w:rsidP="00020CFE">
      <w:pPr>
        <w:pStyle w:val="ListParagraph"/>
        <w:keepNext/>
        <w:keepLines/>
        <w:numPr>
          <w:ilvl w:val="0"/>
          <w:numId w:val="24"/>
        </w:numPr>
        <w:pBdr>
          <w:top w:val="nil"/>
          <w:left w:val="nil"/>
          <w:bottom w:val="nil"/>
          <w:right w:val="nil"/>
          <w:between w:val="nil"/>
          <w:bar w:val="nil"/>
        </w:pBdr>
        <w:tabs>
          <w:tab w:val="left" w:pos="993"/>
        </w:tabs>
        <w:spacing w:after="0" w:line="240" w:lineRule="auto"/>
        <w:ind w:left="993" w:right="560" w:hanging="426"/>
        <w:jc w:val="both"/>
        <w:rPr>
          <w:rFonts w:ascii="Arial" w:hAnsi="Arial" w:cs="Arial"/>
          <w:sz w:val="21"/>
          <w:szCs w:val="21"/>
        </w:rPr>
      </w:pPr>
      <w:r w:rsidRPr="00065A9E">
        <w:rPr>
          <w:rFonts w:ascii="Arial" w:hAnsi="Arial" w:cs="Arial"/>
          <w:sz w:val="21"/>
          <w:szCs w:val="21"/>
          <w:lang w:val="en-US"/>
        </w:rPr>
        <w:t xml:space="preserve">The Government admitted that the difference in treatment amounted to discrimination on the grounds of age. The question for the Employment Tribunal was whether that discrimination was a proportionate means of achieving a legitimate aim. The Tribunal did not </w:t>
      </w:r>
      <w:proofErr w:type="spellStart"/>
      <w:r w:rsidRPr="00065A9E">
        <w:rPr>
          <w:rFonts w:ascii="Arial" w:hAnsi="Arial" w:cs="Arial"/>
          <w:sz w:val="21"/>
          <w:szCs w:val="21"/>
          <w:lang w:val="en-US"/>
        </w:rPr>
        <w:t>analyse</w:t>
      </w:r>
      <w:proofErr w:type="spellEnd"/>
      <w:r w:rsidRPr="00065A9E">
        <w:rPr>
          <w:rFonts w:ascii="Arial" w:hAnsi="Arial" w:cs="Arial"/>
          <w:sz w:val="21"/>
          <w:szCs w:val="21"/>
          <w:lang w:val="en-US"/>
        </w:rPr>
        <w:t xml:space="preserve"> what  the Government’s legitimate aim was, and in particular did not </w:t>
      </w:r>
      <w:proofErr w:type="spellStart"/>
      <w:r w:rsidRPr="00065A9E">
        <w:rPr>
          <w:rFonts w:ascii="Arial" w:hAnsi="Arial" w:cs="Arial"/>
          <w:sz w:val="21"/>
          <w:szCs w:val="21"/>
          <w:lang w:val="en-US"/>
        </w:rPr>
        <w:t>analyse</w:t>
      </w:r>
      <w:proofErr w:type="spellEnd"/>
      <w:r w:rsidRPr="00065A9E">
        <w:rPr>
          <w:rFonts w:ascii="Arial" w:hAnsi="Arial" w:cs="Arial"/>
          <w:sz w:val="21"/>
          <w:szCs w:val="21"/>
          <w:lang w:val="en-US"/>
        </w:rPr>
        <w:t xml:space="preserve"> what “protecting members closer to retirement” meant in terms of the impact of the younger and older age groups.</w:t>
      </w:r>
    </w:p>
    <w:p w14:paraId="0AC92721" w14:textId="77777777" w:rsidR="00020CFE" w:rsidRPr="00065A9E" w:rsidRDefault="00020CFE" w:rsidP="00020CFE">
      <w:pPr>
        <w:pStyle w:val="ListParagraph"/>
        <w:keepNext/>
        <w:keepLines/>
        <w:pBdr>
          <w:top w:val="nil"/>
          <w:left w:val="nil"/>
          <w:bottom w:val="nil"/>
          <w:right w:val="nil"/>
          <w:between w:val="nil"/>
          <w:bar w:val="nil"/>
        </w:pBdr>
        <w:tabs>
          <w:tab w:val="left" w:pos="993"/>
        </w:tabs>
        <w:spacing w:after="0" w:line="240" w:lineRule="auto"/>
        <w:ind w:left="993" w:right="560"/>
        <w:jc w:val="both"/>
        <w:rPr>
          <w:rFonts w:ascii="Arial" w:hAnsi="Arial" w:cs="Arial"/>
          <w:sz w:val="21"/>
          <w:szCs w:val="21"/>
        </w:rPr>
      </w:pPr>
    </w:p>
    <w:p w14:paraId="3016C60C" w14:textId="2072C5E8" w:rsidR="00020CFE" w:rsidRPr="00065A9E" w:rsidRDefault="00020CFE" w:rsidP="00020CFE">
      <w:pPr>
        <w:pStyle w:val="ListParagraph"/>
        <w:keepNext/>
        <w:keepLines/>
        <w:numPr>
          <w:ilvl w:val="0"/>
          <w:numId w:val="24"/>
        </w:numPr>
        <w:pBdr>
          <w:top w:val="nil"/>
          <w:left w:val="nil"/>
          <w:bottom w:val="nil"/>
          <w:right w:val="nil"/>
          <w:between w:val="nil"/>
          <w:bar w:val="nil"/>
        </w:pBdr>
        <w:tabs>
          <w:tab w:val="left" w:pos="993"/>
        </w:tabs>
        <w:spacing w:after="0" w:line="240" w:lineRule="auto"/>
        <w:ind w:left="993" w:right="560" w:hanging="426"/>
        <w:jc w:val="both"/>
        <w:rPr>
          <w:rFonts w:ascii="Arial" w:hAnsi="Arial" w:cs="Arial"/>
          <w:sz w:val="21"/>
          <w:szCs w:val="21"/>
        </w:rPr>
      </w:pPr>
      <w:r w:rsidRPr="00065A9E">
        <w:rPr>
          <w:rFonts w:ascii="Arial" w:hAnsi="Arial" w:cs="Arial"/>
          <w:sz w:val="21"/>
          <w:szCs w:val="21"/>
          <w:lang w:val="en-US"/>
        </w:rPr>
        <w:t xml:space="preserve">The Employment Tribunal did not </w:t>
      </w:r>
      <w:proofErr w:type="spellStart"/>
      <w:r w:rsidRPr="00065A9E">
        <w:rPr>
          <w:rFonts w:ascii="Arial" w:hAnsi="Arial" w:cs="Arial"/>
          <w:sz w:val="21"/>
          <w:szCs w:val="21"/>
          <w:lang w:val="en-US"/>
        </w:rPr>
        <w:t>analyse</w:t>
      </w:r>
      <w:proofErr w:type="spellEnd"/>
      <w:r w:rsidRPr="00065A9E">
        <w:rPr>
          <w:rFonts w:ascii="Arial" w:hAnsi="Arial" w:cs="Arial"/>
          <w:sz w:val="21"/>
          <w:szCs w:val="21"/>
          <w:lang w:val="en-US"/>
        </w:rPr>
        <w:t xml:space="preserve"> the Government’s assertion that younger members would be able to adjust their lifestyles to accommodate the new pension arrangements. The only adjustments they can make are to adapt to being poorer and working for longer.</w:t>
      </w:r>
    </w:p>
    <w:p w14:paraId="0FEDAEF0" w14:textId="77777777" w:rsidR="00020CFE" w:rsidRPr="00065A9E" w:rsidRDefault="00020CFE" w:rsidP="00020CFE">
      <w:pPr>
        <w:pStyle w:val="ListParagraph"/>
        <w:keepNext/>
        <w:keepLines/>
        <w:pBdr>
          <w:top w:val="nil"/>
          <w:left w:val="nil"/>
          <w:bottom w:val="nil"/>
          <w:right w:val="nil"/>
          <w:between w:val="nil"/>
          <w:bar w:val="nil"/>
        </w:pBdr>
        <w:tabs>
          <w:tab w:val="left" w:pos="993"/>
        </w:tabs>
        <w:spacing w:after="0" w:line="240" w:lineRule="auto"/>
        <w:ind w:left="993" w:right="560" w:hanging="426"/>
        <w:contextualSpacing w:val="0"/>
        <w:jc w:val="both"/>
        <w:rPr>
          <w:rFonts w:ascii="Arial" w:hAnsi="Arial" w:cs="Arial"/>
          <w:sz w:val="21"/>
          <w:szCs w:val="21"/>
        </w:rPr>
      </w:pPr>
    </w:p>
    <w:p w14:paraId="74B880A4" w14:textId="77777777" w:rsidR="00020CFE" w:rsidRPr="00065A9E" w:rsidRDefault="00020CFE" w:rsidP="00020CFE">
      <w:pPr>
        <w:pStyle w:val="ListParagraph"/>
        <w:keepNext/>
        <w:keepLines/>
        <w:numPr>
          <w:ilvl w:val="0"/>
          <w:numId w:val="24"/>
        </w:numPr>
        <w:pBdr>
          <w:top w:val="nil"/>
          <w:left w:val="nil"/>
          <w:bottom w:val="nil"/>
          <w:right w:val="nil"/>
          <w:between w:val="nil"/>
          <w:bar w:val="nil"/>
        </w:pBdr>
        <w:tabs>
          <w:tab w:val="left" w:pos="993"/>
        </w:tabs>
        <w:spacing w:after="0" w:line="240" w:lineRule="auto"/>
        <w:ind w:left="993" w:right="560" w:hanging="426"/>
        <w:jc w:val="both"/>
        <w:rPr>
          <w:rFonts w:ascii="Arial" w:hAnsi="Arial" w:cs="Arial"/>
          <w:sz w:val="21"/>
          <w:szCs w:val="21"/>
        </w:rPr>
      </w:pPr>
      <w:r w:rsidRPr="00065A9E">
        <w:rPr>
          <w:rFonts w:ascii="Arial" w:hAnsi="Arial" w:cs="Arial"/>
          <w:sz w:val="21"/>
          <w:szCs w:val="21"/>
          <w:lang w:val="en-US"/>
        </w:rPr>
        <w:t xml:space="preserve">Nor did the Employment Tribunal </w:t>
      </w:r>
      <w:proofErr w:type="spellStart"/>
      <w:r w:rsidRPr="00065A9E">
        <w:rPr>
          <w:rFonts w:ascii="Arial" w:hAnsi="Arial" w:cs="Arial"/>
          <w:sz w:val="21"/>
          <w:szCs w:val="21"/>
          <w:lang w:val="en-US"/>
        </w:rPr>
        <w:t>analyse</w:t>
      </w:r>
      <w:proofErr w:type="spellEnd"/>
      <w:r w:rsidRPr="00065A9E">
        <w:rPr>
          <w:rFonts w:ascii="Arial" w:hAnsi="Arial" w:cs="Arial"/>
          <w:sz w:val="21"/>
          <w:szCs w:val="21"/>
          <w:lang w:val="en-US"/>
        </w:rPr>
        <w:t xml:space="preserve"> how the new pension scheme would affect older and younger members, when it is clear that older members who would be in a new pension scheme for less time would be less affected than younger members who will be in it for longer.</w:t>
      </w:r>
    </w:p>
    <w:p w14:paraId="2C5CF040" w14:textId="77777777" w:rsidR="00020CFE" w:rsidRPr="00065A9E" w:rsidRDefault="00020CFE" w:rsidP="00020CFE">
      <w:pPr>
        <w:pStyle w:val="ListParagraph"/>
        <w:keepNext/>
        <w:keepLines/>
        <w:pBdr>
          <w:top w:val="nil"/>
          <w:left w:val="nil"/>
          <w:bottom w:val="nil"/>
          <w:right w:val="nil"/>
          <w:between w:val="nil"/>
          <w:bar w:val="nil"/>
        </w:pBdr>
        <w:tabs>
          <w:tab w:val="left" w:pos="993"/>
        </w:tabs>
        <w:spacing w:after="0" w:line="240" w:lineRule="auto"/>
        <w:ind w:left="993" w:right="560" w:hanging="426"/>
        <w:contextualSpacing w:val="0"/>
        <w:jc w:val="both"/>
        <w:rPr>
          <w:rFonts w:ascii="Arial" w:hAnsi="Arial" w:cs="Arial"/>
          <w:sz w:val="21"/>
          <w:szCs w:val="21"/>
        </w:rPr>
      </w:pPr>
    </w:p>
    <w:p w14:paraId="652BFBF4" w14:textId="77777777" w:rsidR="00020CFE" w:rsidRPr="00065A9E" w:rsidRDefault="00020CFE" w:rsidP="00020CFE">
      <w:pPr>
        <w:pStyle w:val="ListParagraph"/>
        <w:keepNext/>
        <w:keepLines/>
        <w:numPr>
          <w:ilvl w:val="0"/>
          <w:numId w:val="24"/>
        </w:numPr>
        <w:pBdr>
          <w:top w:val="nil"/>
          <w:left w:val="nil"/>
          <w:bottom w:val="nil"/>
          <w:right w:val="nil"/>
          <w:between w:val="nil"/>
          <w:bar w:val="nil"/>
        </w:pBdr>
        <w:tabs>
          <w:tab w:val="left" w:pos="993"/>
        </w:tabs>
        <w:spacing w:after="0" w:line="240" w:lineRule="auto"/>
        <w:ind w:left="993" w:right="560" w:hanging="426"/>
        <w:jc w:val="both"/>
        <w:rPr>
          <w:rFonts w:ascii="Arial" w:hAnsi="Arial" w:cs="Arial"/>
          <w:sz w:val="21"/>
          <w:szCs w:val="21"/>
        </w:rPr>
      </w:pPr>
      <w:r w:rsidRPr="00065A9E">
        <w:rPr>
          <w:rFonts w:ascii="Arial" w:hAnsi="Arial" w:cs="Arial"/>
          <w:sz w:val="21"/>
          <w:szCs w:val="21"/>
          <w:lang w:val="en-US"/>
        </w:rPr>
        <w:t>Even if there was some sort of legitimate aim, the Employment Tribunal should have examined whether the transitional arrangements were an appropriate and reasonably necessary means of achieving it. The Employment Tribunal was wrong to say that making a “social policy choice” absolves the Government of the need to explain why the means used to achieve its perceived aim were appropriate. The burden of proof is on the Government to do so.</w:t>
      </w:r>
    </w:p>
    <w:p w14:paraId="04799089" w14:textId="77777777" w:rsidR="00020CFE" w:rsidRPr="00065A9E" w:rsidRDefault="00020CFE" w:rsidP="00020CFE">
      <w:pPr>
        <w:pStyle w:val="ListParagraph"/>
        <w:keepNext/>
        <w:keepLines/>
        <w:pBdr>
          <w:top w:val="nil"/>
          <w:left w:val="nil"/>
          <w:bottom w:val="nil"/>
          <w:right w:val="nil"/>
          <w:between w:val="nil"/>
          <w:bar w:val="nil"/>
        </w:pBdr>
        <w:tabs>
          <w:tab w:val="left" w:pos="993"/>
        </w:tabs>
        <w:spacing w:after="0" w:line="240" w:lineRule="auto"/>
        <w:ind w:left="993" w:right="560" w:hanging="426"/>
        <w:contextualSpacing w:val="0"/>
        <w:jc w:val="both"/>
        <w:rPr>
          <w:rFonts w:ascii="Arial" w:hAnsi="Arial" w:cs="Arial"/>
          <w:sz w:val="21"/>
          <w:szCs w:val="21"/>
        </w:rPr>
      </w:pPr>
    </w:p>
    <w:p w14:paraId="636D9A87" w14:textId="77777777" w:rsidR="00020CFE" w:rsidRPr="00065A9E" w:rsidRDefault="00020CFE" w:rsidP="00020CFE">
      <w:pPr>
        <w:pStyle w:val="ListParagraph"/>
        <w:keepNext/>
        <w:keepLines/>
        <w:numPr>
          <w:ilvl w:val="0"/>
          <w:numId w:val="24"/>
        </w:numPr>
        <w:pBdr>
          <w:top w:val="nil"/>
          <w:left w:val="nil"/>
          <w:bottom w:val="nil"/>
          <w:right w:val="nil"/>
          <w:between w:val="nil"/>
          <w:bar w:val="nil"/>
        </w:pBdr>
        <w:tabs>
          <w:tab w:val="left" w:pos="993"/>
        </w:tabs>
        <w:spacing w:after="0" w:line="240" w:lineRule="auto"/>
        <w:ind w:left="993" w:right="560" w:hanging="426"/>
        <w:jc w:val="both"/>
        <w:rPr>
          <w:rFonts w:ascii="Arial" w:hAnsi="Arial" w:cs="Arial"/>
          <w:sz w:val="21"/>
          <w:szCs w:val="21"/>
        </w:rPr>
      </w:pPr>
      <w:r w:rsidRPr="00065A9E">
        <w:rPr>
          <w:rFonts w:ascii="Arial" w:hAnsi="Arial" w:cs="Arial"/>
          <w:sz w:val="21"/>
          <w:szCs w:val="21"/>
          <w:lang w:val="en-US"/>
        </w:rPr>
        <w:t>The Employment Tribunal decided that a cut-off point has to be set somewhere when introducing a new pension scheme. That is not a justification – what is in question is whether any sort of transition from one scheme to another, which the Government admitted was discriminatory, can be justified.</w:t>
      </w:r>
    </w:p>
    <w:p w14:paraId="46AA7D9C" w14:textId="77777777" w:rsidR="00020CFE" w:rsidRPr="00065A9E" w:rsidRDefault="00020CFE" w:rsidP="00020CFE">
      <w:pPr>
        <w:pStyle w:val="ListParagraph"/>
        <w:keepNext/>
        <w:keepLines/>
        <w:pBdr>
          <w:top w:val="nil"/>
          <w:left w:val="nil"/>
          <w:bottom w:val="nil"/>
          <w:right w:val="nil"/>
          <w:between w:val="nil"/>
          <w:bar w:val="nil"/>
        </w:pBdr>
        <w:tabs>
          <w:tab w:val="left" w:pos="993"/>
        </w:tabs>
        <w:spacing w:after="0" w:line="240" w:lineRule="auto"/>
        <w:ind w:left="993" w:right="560" w:hanging="426"/>
        <w:contextualSpacing w:val="0"/>
        <w:jc w:val="both"/>
        <w:rPr>
          <w:rFonts w:ascii="Arial" w:hAnsi="Arial" w:cs="Arial"/>
          <w:sz w:val="21"/>
          <w:szCs w:val="21"/>
        </w:rPr>
      </w:pPr>
    </w:p>
    <w:p w14:paraId="7ECE138B" w14:textId="653D1F36" w:rsidR="00020CFE" w:rsidRPr="00065A9E" w:rsidRDefault="00020CFE" w:rsidP="00020CFE">
      <w:pPr>
        <w:pStyle w:val="ListParagraph"/>
        <w:keepNext/>
        <w:keepLines/>
        <w:numPr>
          <w:ilvl w:val="0"/>
          <w:numId w:val="24"/>
        </w:numPr>
        <w:pBdr>
          <w:top w:val="nil"/>
          <w:left w:val="nil"/>
          <w:bottom w:val="nil"/>
          <w:right w:val="nil"/>
          <w:between w:val="nil"/>
          <w:bar w:val="nil"/>
        </w:pBdr>
        <w:tabs>
          <w:tab w:val="left" w:pos="993"/>
        </w:tabs>
        <w:spacing w:after="0" w:line="240" w:lineRule="auto"/>
        <w:ind w:left="993" w:right="560" w:hanging="426"/>
        <w:jc w:val="both"/>
        <w:rPr>
          <w:rFonts w:ascii="Arial" w:hAnsi="Arial" w:cs="Arial"/>
          <w:sz w:val="21"/>
          <w:szCs w:val="21"/>
        </w:rPr>
      </w:pPr>
      <w:r w:rsidRPr="00065A9E">
        <w:rPr>
          <w:rFonts w:ascii="Arial" w:hAnsi="Arial" w:cs="Arial"/>
          <w:sz w:val="21"/>
          <w:szCs w:val="21"/>
          <w:lang w:val="en-US"/>
        </w:rPr>
        <w:t xml:space="preserve">The FBU also argued that the transitional arrangements discriminate indirectly on the grounds of sex and race. The sex and race profile of the fire and rescue service has changed in recent times which is, of course, to be welcomed. But it means that the younger disadvantaged group are also more likely to be women and/or from an ethnic minority background. The Government accepted that. The Employment Tribunal decided that the reason for treating one group less </w:t>
      </w:r>
      <w:proofErr w:type="spellStart"/>
      <w:r w:rsidRPr="00065A9E">
        <w:rPr>
          <w:rFonts w:ascii="Arial" w:hAnsi="Arial" w:cs="Arial"/>
          <w:sz w:val="21"/>
          <w:szCs w:val="21"/>
          <w:lang w:val="en-US"/>
        </w:rPr>
        <w:t>favourably</w:t>
      </w:r>
      <w:proofErr w:type="spellEnd"/>
      <w:r w:rsidRPr="00065A9E">
        <w:rPr>
          <w:rFonts w:ascii="Arial" w:hAnsi="Arial" w:cs="Arial"/>
          <w:sz w:val="21"/>
          <w:szCs w:val="21"/>
          <w:lang w:val="en-US"/>
        </w:rPr>
        <w:t xml:space="preserve"> than the other was down to age, but it did not answer the question whether reasons which are age-discriminatory can ever justify treatment which is also sex- and/or race-discriminatory.</w:t>
      </w:r>
    </w:p>
    <w:p w14:paraId="15A19919" w14:textId="77777777" w:rsidR="00020CFE" w:rsidRPr="00065A9E" w:rsidRDefault="00020CFE" w:rsidP="00020CFE">
      <w:pPr>
        <w:pStyle w:val="ListParagraph"/>
        <w:keepNext/>
        <w:keepLines/>
        <w:pBdr>
          <w:top w:val="nil"/>
          <w:left w:val="nil"/>
          <w:bottom w:val="nil"/>
          <w:right w:val="nil"/>
          <w:between w:val="nil"/>
          <w:bar w:val="nil"/>
        </w:pBdr>
        <w:tabs>
          <w:tab w:val="left" w:pos="993"/>
        </w:tabs>
        <w:spacing w:after="0" w:line="240" w:lineRule="auto"/>
        <w:ind w:left="993" w:right="560" w:hanging="426"/>
        <w:contextualSpacing w:val="0"/>
        <w:jc w:val="both"/>
        <w:rPr>
          <w:rFonts w:ascii="Arial" w:hAnsi="Arial" w:cs="Arial"/>
          <w:sz w:val="21"/>
          <w:szCs w:val="21"/>
        </w:rPr>
      </w:pPr>
    </w:p>
    <w:p w14:paraId="42D0A7EB" w14:textId="77777777" w:rsidR="00020CFE" w:rsidRPr="00065A9E" w:rsidRDefault="00020CFE" w:rsidP="00020CFE">
      <w:pPr>
        <w:pStyle w:val="ListParagraph"/>
        <w:keepNext/>
        <w:keepLines/>
        <w:numPr>
          <w:ilvl w:val="0"/>
          <w:numId w:val="24"/>
        </w:numPr>
        <w:pBdr>
          <w:top w:val="nil"/>
          <w:left w:val="nil"/>
          <w:bottom w:val="nil"/>
          <w:right w:val="nil"/>
          <w:between w:val="nil"/>
          <w:bar w:val="nil"/>
        </w:pBdr>
        <w:tabs>
          <w:tab w:val="left" w:pos="993"/>
        </w:tabs>
        <w:spacing w:after="0" w:line="240" w:lineRule="auto"/>
        <w:ind w:left="993" w:right="560" w:hanging="426"/>
        <w:jc w:val="both"/>
        <w:rPr>
          <w:rFonts w:ascii="Arial" w:hAnsi="Arial" w:cs="Arial"/>
          <w:sz w:val="21"/>
          <w:szCs w:val="21"/>
        </w:rPr>
      </w:pPr>
      <w:r w:rsidRPr="00065A9E">
        <w:rPr>
          <w:rFonts w:ascii="Arial" w:hAnsi="Arial" w:cs="Arial"/>
          <w:sz w:val="21"/>
          <w:szCs w:val="21"/>
          <w:lang w:val="en-US"/>
        </w:rPr>
        <w:t>The Employment Tribunal decided that the Government did not have to justify its conduct because the pool of female and BME members is small. That is not what the law says.</w:t>
      </w:r>
    </w:p>
    <w:p w14:paraId="737B1C3C" w14:textId="77777777" w:rsidR="00020CFE" w:rsidRPr="00065A9E" w:rsidRDefault="00020CFE" w:rsidP="00020CFE">
      <w:pPr>
        <w:pStyle w:val="ListParagraph"/>
        <w:keepNext/>
        <w:keepLines/>
        <w:pBdr>
          <w:top w:val="nil"/>
          <w:left w:val="nil"/>
          <w:bottom w:val="nil"/>
          <w:right w:val="nil"/>
          <w:between w:val="nil"/>
          <w:bar w:val="nil"/>
        </w:pBdr>
        <w:tabs>
          <w:tab w:val="left" w:pos="993"/>
        </w:tabs>
        <w:spacing w:after="0" w:line="240" w:lineRule="auto"/>
        <w:ind w:left="993" w:right="560" w:hanging="426"/>
        <w:contextualSpacing w:val="0"/>
        <w:jc w:val="both"/>
        <w:rPr>
          <w:rFonts w:ascii="Arial" w:hAnsi="Arial" w:cs="Arial"/>
          <w:sz w:val="21"/>
          <w:szCs w:val="21"/>
        </w:rPr>
      </w:pPr>
    </w:p>
    <w:p w14:paraId="59C6B5EA" w14:textId="77777777" w:rsidR="00020CFE" w:rsidRPr="00065A9E" w:rsidRDefault="00020CFE" w:rsidP="00020CFE">
      <w:pPr>
        <w:pStyle w:val="ListParagraph"/>
        <w:keepNext/>
        <w:keepLines/>
        <w:numPr>
          <w:ilvl w:val="0"/>
          <w:numId w:val="24"/>
        </w:numPr>
        <w:pBdr>
          <w:top w:val="nil"/>
          <w:left w:val="nil"/>
          <w:bottom w:val="nil"/>
          <w:right w:val="nil"/>
          <w:between w:val="nil"/>
          <w:bar w:val="nil"/>
        </w:pBdr>
        <w:tabs>
          <w:tab w:val="left" w:pos="993"/>
        </w:tabs>
        <w:spacing w:after="0" w:line="240" w:lineRule="auto"/>
        <w:ind w:left="993" w:right="560" w:hanging="426"/>
        <w:jc w:val="both"/>
        <w:rPr>
          <w:rFonts w:ascii="Arial" w:hAnsi="Arial" w:cs="Arial"/>
          <w:sz w:val="21"/>
          <w:szCs w:val="21"/>
        </w:rPr>
      </w:pPr>
      <w:r w:rsidRPr="00065A9E">
        <w:rPr>
          <w:rFonts w:ascii="Arial" w:hAnsi="Arial" w:cs="Arial"/>
          <w:sz w:val="21"/>
          <w:szCs w:val="21"/>
          <w:lang w:val="en-US"/>
        </w:rPr>
        <w:t xml:space="preserve">The Employment Tribunal said that if the transitional arrangements were justifiable for age discrimination purposes it follows that they are justifiable for sex and race discrimination purposes too. The Employment Tribunal did not actually </w:t>
      </w:r>
      <w:proofErr w:type="spellStart"/>
      <w:r w:rsidRPr="00065A9E">
        <w:rPr>
          <w:rFonts w:ascii="Arial" w:hAnsi="Arial" w:cs="Arial"/>
          <w:sz w:val="21"/>
          <w:szCs w:val="21"/>
          <w:lang w:val="en-US"/>
        </w:rPr>
        <w:t>analyse</w:t>
      </w:r>
      <w:proofErr w:type="spellEnd"/>
      <w:r w:rsidRPr="00065A9E">
        <w:rPr>
          <w:rFonts w:ascii="Arial" w:hAnsi="Arial" w:cs="Arial"/>
          <w:sz w:val="21"/>
          <w:szCs w:val="21"/>
          <w:lang w:val="en-US"/>
        </w:rPr>
        <w:t xml:space="preserve"> what the Government’s justification case was. If it had, it would have seen that no real justification argument was put forward at all.</w:t>
      </w:r>
    </w:p>
    <w:p w14:paraId="54F726ED" w14:textId="77777777" w:rsidR="00020CFE" w:rsidRPr="00065A9E" w:rsidRDefault="00020CFE" w:rsidP="00020CFE">
      <w:pPr>
        <w:pStyle w:val="ListParagraph"/>
        <w:keepNext/>
        <w:keepLines/>
        <w:pBdr>
          <w:top w:val="nil"/>
          <w:left w:val="nil"/>
          <w:bottom w:val="nil"/>
          <w:right w:val="nil"/>
          <w:between w:val="nil"/>
          <w:bar w:val="nil"/>
        </w:pBdr>
        <w:tabs>
          <w:tab w:val="left" w:pos="993"/>
        </w:tabs>
        <w:spacing w:after="0" w:line="240" w:lineRule="auto"/>
        <w:ind w:left="993" w:right="560" w:hanging="426"/>
        <w:contextualSpacing w:val="0"/>
        <w:jc w:val="both"/>
        <w:rPr>
          <w:rFonts w:ascii="Arial" w:hAnsi="Arial" w:cs="Arial"/>
          <w:sz w:val="21"/>
          <w:szCs w:val="21"/>
        </w:rPr>
      </w:pPr>
    </w:p>
    <w:p w14:paraId="373DC027" w14:textId="1CE7952E" w:rsidR="00020CFE" w:rsidRPr="00065A9E" w:rsidRDefault="00020CFE" w:rsidP="00020CFE">
      <w:pPr>
        <w:pStyle w:val="ListParagraph"/>
        <w:keepNext/>
        <w:keepLines/>
        <w:numPr>
          <w:ilvl w:val="0"/>
          <w:numId w:val="24"/>
        </w:numPr>
        <w:pBdr>
          <w:top w:val="nil"/>
          <w:left w:val="nil"/>
          <w:bottom w:val="nil"/>
          <w:right w:val="nil"/>
          <w:between w:val="nil"/>
          <w:bar w:val="nil"/>
        </w:pBdr>
        <w:tabs>
          <w:tab w:val="left" w:pos="993"/>
        </w:tabs>
        <w:spacing w:after="0" w:line="240" w:lineRule="auto"/>
        <w:ind w:left="993" w:right="560" w:hanging="426"/>
        <w:jc w:val="both"/>
        <w:rPr>
          <w:rFonts w:ascii="Arial" w:hAnsi="Arial" w:cs="Arial"/>
          <w:sz w:val="21"/>
          <w:szCs w:val="21"/>
        </w:rPr>
      </w:pPr>
      <w:r w:rsidRPr="00065A9E">
        <w:rPr>
          <w:rFonts w:ascii="Arial" w:hAnsi="Arial" w:cs="Arial"/>
          <w:sz w:val="21"/>
          <w:szCs w:val="21"/>
          <w:lang w:val="en-US"/>
        </w:rPr>
        <w:t xml:space="preserve">The Employment Tribunal ignored some inconvenient facts – the </w:t>
      </w:r>
      <w:r w:rsidRPr="00E06E92">
        <w:rPr>
          <w:rFonts w:ascii="Arial" w:hAnsi="Arial" w:cs="Arial"/>
          <w:sz w:val="21"/>
          <w:szCs w:val="21"/>
          <w:lang w:val="en-US"/>
        </w:rPr>
        <w:t>Government’s own advisers told</w:t>
      </w:r>
      <w:r w:rsidRPr="00065A9E">
        <w:rPr>
          <w:rFonts w:ascii="Arial" w:hAnsi="Arial" w:cs="Arial"/>
          <w:sz w:val="21"/>
          <w:szCs w:val="21"/>
          <w:lang w:val="en-US"/>
        </w:rPr>
        <w:t xml:space="preserve"> it in 2011 that its transitional arrangements plans were potentially discriminatory and would con</w:t>
      </w:r>
      <w:r w:rsidR="00065A9E" w:rsidRPr="00065A9E">
        <w:rPr>
          <w:rFonts w:ascii="Arial" w:hAnsi="Arial" w:cs="Arial"/>
          <w:sz w:val="21"/>
          <w:szCs w:val="21"/>
          <w:lang w:val="en-US"/>
        </w:rPr>
        <w:t xml:space="preserve">centrate benefits on those who </w:t>
      </w:r>
      <w:r w:rsidRPr="00065A9E">
        <w:rPr>
          <w:rFonts w:ascii="Arial" w:hAnsi="Arial" w:cs="Arial"/>
          <w:sz w:val="21"/>
          <w:szCs w:val="21"/>
          <w:lang w:val="en-US"/>
        </w:rPr>
        <w:t>already had the best pension provision.</w:t>
      </w:r>
    </w:p>
    <w:p w14:paraId="289D3920" w14:textId="77777777" w:rsidR="00020CFE" w:rsidRPr="00065A9E" w:rsidRDefault="00020CFE" w:rsidP="00020CFE">
      <w:pPr>
        <w:pStyle w:val="Heading"/>
        <w:spacing w:after="0" w:line="240" w:lineRule="auto"/>
        <w:rPr>
          <w:rFonts w:ascii="Arial" w:hAnsi="Arial" w:cs="Arial"/>
          <w:sz w:val="21"/>
          <w:szCs w:val="21"/>
          <w:lang w:val="de-DE"/>
        </w:rPr>
      </w:pPr>
    </w:p>
    <w:p w14:paraId="57017275" w14:textId="77777777" w:rsidR="00020CFE" w:rsidRPr="00065A9E" w:rsidRDefault="00020CFE" w:rsidP="00020CFE">
      <w:pPr>
        <w:pStyle w:val="Heading"/>
        <w:spacing w:after="0" w:line="240" w:lineRule="auto"/>
        <w:ind w:left="567" w:right="560"/>
        <w:rPr>
          <w:rFonts w:ascii="Arial" w:hAnsi="Arial" w:cs="Arial"/>
          <w:sz w:val="21"/>
          <w:szCs w:val="21"/>
        </w:rPr>
      </w:pPr>
      <w:r w:rsidRPr="00065A9E">
        <w:rPr>
          <w:rFonts w:ascii="Arial" w:hAnsi="Arial" w:cs="Arial"/>
          <w:sz w:val="21"/>
          <w:szCs w:val="21"/>
          <w:lang w:val="de-DE"/>
        </w:rPr>
        <w:t>Next steps</w:t>
      </w:r>
    </w:p>
    <w:p w14:paraId="32A55119" w14:textId="77777777" w:rsidR="00020CFE" w:rsidRPr="00065A9E" w:rsidRDefault="00020CFE" w:rsidP="00020CFE">
      <w:pPr>
        <w:pStyle w:val="Body"/>
        <w:spacing w:after="0" w:line="240" w:lineRule="auto"/>
        <w:ind w:left="567" w:right="560"/>
        <w:jc w:val="both"/>
        <w:rPr>
          <w:rFonts w:ascii="Arial" w:hAnsi="Arial" w:cs="Arial"/>
          <w:sz w:val="21"/>
          <w:szCs w:val="21"/>
        </w:rPr>
      </w:pPr>
    </w:p>
    <w:p w14:paraId="6D90C79F" w14:textId="77777777" w:rsidR="00020CFE" w:rsidRPr="00065A9E" w:rsidRDefault="00020CFE" w:rsidP="00020CFE">
      <w:pPr>
        <w:pStyle w:val="Body"/>
        <w:spacing w:after="0" w:line="240" w:lineRule="auto"/>
        <w:ind w:left="567" w:right="560"/>
        <w:jc w:val="both"/>
        <w:rPr>
          <w:rFonts w:ascii="Arial" w:hAnsi="Arial" w:cs="Arial"/>
          <w:sz w:val="21"/>
          <w:szCs w:val="21"/>
        </w:rPr>
      </w:pPr>
      <w:r w:rsidRPr="00065A9E">
        <w:rPr>
          <w:rFonts w:ascii="Arial" w:hAnsi="Arial" w:cs="Arial"/>
          <w:sz w:val="21"/>
          <w:szCs w:val="21"/>
        </w:rPr>
        <w:t>A nearly identical claim was made by 210 judges. The judges won, and the Government has filed an appeal.</w:t>
      </w:r>
    </w:p>
    <w:p w14:paraId="37E62FDF" w14:textId="77777777" w:rsidR="00020CFE" w:rsidRPr="00065A9E" w:rsidRDefault="00020CFE" w:rsidP="00020CFE">
      <w:pPr>
        <w:pStyle w:val="Body"/>
        <w:spacing w:after="0" w:line="240" w:lineRule="auto"/>
        <w:ind w:left="567" w:right="560"/>
        <w:jc w:val="both"/>
        <w:rPr>
          <w:rFonts w:ascii="Arial" w:hAnsi="Arial" w:cs="Arial"/>
          <w:sz w:val="21"/>
          <w:szCs w:val="21"/>
        </w:rPr>
      </w:pPr>
    </w:p>
    <w:p w14:paraId="664705C9" w14:textId="7B927FEF" w:rsidR="00020CFE" w:rsidRDefault="00020CFE" w:rsidP="00020CFE">
      <w:pPr>
        <w:pStyle w:val="Body"/>
        <w:spacing w:after="0" w:line="240" w:lineRule="auto"/>
        <w:ind w:left="567" w:right="560"/>
        <w:jc w:val="both"/>
        <w:rPr>
          <w:rFonts w:ascii="Arial" w:hAnsi="Arial" w:cs="Arial"/>
          <w:sz w:val="21"/>
          <w:szCs w:val="21"/>
        </w:rPr>
      </w:pPr>
      <w:r w:rsidRPr="00065A9E">
        <w:rPr>
          <w:rFonts w:ascii="Arial" w:hAnsi="Arial" w:cs="Arial"/>
          <w:sz w:val="21"/>
          <w:szCs w:val="21"/>
          <w:lang w:val="fr-FR"/>
        </w:rPr>
        <w:t xml:space="preserve">Our </w:t>
      </w:r>
      <w:proofErr w:type="spellStart"/>
      <w:r w:rsidRPr="00065A9E">
        <w:rPr>
          <w:rFonts w:ascii="Arial" w:hAnsi="Arial" w:cs="Arial"/>
          <w:sz w:val="21"/>
          <w:szCs w:val="21"/>
          <w:lang w:val="fr-FR"/>
        </w:rPr>
        <w:t>appeal</w:t>
      </w:r>
      <w:proofErr w:type="spellEnd"/>
      <w:r w:rsidRPr="00065A9E">
        <w:rPr>
          <w:rFonts w:ascii="Arial" w:hAnsi="Arial" w:cs="Arial"/>
          <w:sz w:val="21"/>
          <w:szCs w:val="21"/>
        </w:rPr>
        <w:t xml:space="preserve"> now has to go through a process called the “sift”, where the Employment Appeal Tribunal will decide if there are reasonable grounds for appealing. Our a</w:t>
      </w:r>
      <w:r w:rsidR="00E06E92">
        <w:rPr>
          <w:rFonts w:ascii="Arial" w:hAnsi="Arial" w:cs="Arial"/>
          <w:sz w:val="21"/>
          <w:szCs w:val="21"/>
        </w:rPr>
        <w:t>dvise</w:t>
      </w:r>
      <w:r w:rsidRPr="00065A9E">
        <w:rPr>
          <w:rFonts w:ascii="Arial" w:hAnsi="Arial" w:cs="Arial"/>
          <w:sz w:val="21"/>
          <w:szCs w:val="21"/>
        </w:rPr>
        <w:t xml:space="preserve">rs </w:t>
      </w:r>
      <w:r w:rsidR="00E06E92">
        <w:rPr>
          <w:rFonts w:ascii="Arial" w:hAnsi="Arial" w:cs="Arial"/>
          <w:sz w:val="21"/>
          <w:szCs w:val="21"/>
        </w:rPr>
        <w:t>are confident that t</w:t>
      </w:r>
      <w:r w:rsidRPr="00065A9E">
        <w:rPr>
          <w:rFonts w:ascii="Arial" w:hAnsi="Arial" w:cs="Arial"/>
          <w:sz w:val="21"/>
          <w:szCs w:val="21"/>
        </w:rPr>
        <w:t xml:space="preserve">here are. </w:t>
      </w:r>
    </w:p>
    <w:p w14:paraId="10C9BC56" w14:textId="77777777" w:rsidR="00715D27" w:rsidRPr="00065A9E" w:rsidRDefault="00715D27" w:rsidP="00020CFE">
      <w:pPr>
        <w:pStyle w:val="Body"/>
        <w:spacing w:after="0" w:line="240" w:lineRule="auto"/>
        <w:ind w:left="567" w:right="560"/>
        <w:jc w:val="both"/>
        <w:rPr>
          <w:rFonts w:ascii="Arial" w:hAnsi="Arial" w:cs="Arial"/>
          <w:sz w:val="21"/>
          <w:szCs w:val="21"/>
        </w:rPr>
      </w:pPr>
    </w:p>
    <w:p w14:paraId="4DB5E6EE" w14:textId="77777777" w:rsidR="00020CFE" w:rsidRDefault="00020CFE" w:rsidP="00020CFE">
      <w:pPr>
        <w:pStyle w:val="Body"/>
        <w:spacing w:after="0" w:line="240" w:lineRule="auto"/>
        <w:ind w:left="567" w:right="560"/>
        <w:jc w:val="both"/>
        <w:rPr>
          <w:rFonts w:ascii="Arial" w:hAnsi="Arial" w:cs="Arial"/>
          <w:sz w:val="21"/>
          <w:szCs w:val="21"/>
        </w:rPr>
      </w:pPr>
      <w:r w:rsidRPr="00065A9E">
        <w:rPr>
          <w:rFonts w:ascii="Arial" w:hAnsi="Arial" w:cs="Arial"/>
          <w:sz w:val="21"/>
          <w:szCs w:val="21"/>
        </w:rPr>
        <w:t>It is likely that the Employment Appeal Tribunal will then deal with our appeal at the same time as the judges’ case. We can expect a hearing towards the end of the year or early next year, and a judgment from the Employment Appeal Tribunal a month or two after that. If we win the Government may well appeal again. Inevitably, the legal process takes a long time and we need to prepare for that. We have been through other cases which also took a considerable time but which ultimately proved successful for FBU members but we will need to be prepared for the slow process.</w:t>
      </w:r>
    </w:p>
    <w:p w14:paraId="7B0E09C2" w14:textId="77777777" w:rsidR="00065A9E" w:rsidRDefault="00065A9E" w:rsidP="00020CFE">
      <w:pPr>
        <w:pStyle w:val="Body"/>
        <w:spacing w:after="0" w:line="240" w:lineRule="auto"/>
        <w:ind w:left="567" w:right="560"/>
        <w:jc w:val="both"/>
        <w:rPr>
          <w:rFonts w:ascii="Arial" w:hAnsi="Arial" w:cs="Arial"/>
          <w:sz w:val="21"/>
          <w:szCs w:val="21"/>
        </w:rPr>
      </w:pPr>
    </w:p>
    <w:p w14:paraId="64994A7D" w14:textId="2FE52834" w:rsidR="00065A9E" w:rsidRDefault="00065A9E" w:rsidP="00065A9E">
      <w:pPr>
        <w:pStyle w:val="Body"/>
        <w:spacing w:after="0" w:line="240" w:lineRule="auto"/>
        <w:ind w:left="567" w:right="560"/>
        <w:jc w:val="right"/>
        <w:rPr>
          <w:rFonts w:ascii="Arial" w:hAnsi="Arial" w:cs="Arial"/>
          <w:sz w:val="21"/>
          <w:szCs w:val="21"/>
        </w:rPr>
      </w:pPr>
      <w:proofErr w:type="spellStart"/>
      <w:r>
        <w:rPr>
          <w:rFonts w:ascii="Arial" w:hAnsi="Arial" w:cs="Arial"/>
          <w:sz w:val="21"/>
          <w:szCs w:val="21"/>
        </w:rPr>
        <w:t>Contd</w:t>
      </w:r>
      <w:proofErr w:type="spellEnd"/>
      <w:r>
        <w:rPr>
          <w:rFonts w:ascii="Arial" w:hAnsi="Arial" w:cs="Arial"/>
          <w:sz w:val="21"/>
          <w:szCs w:val="21"/>
        </w:rPr>
        <w:t>/3…</w:t>
      </w:r>
    </w:p>
    <w:p w14:paraId="05442504" w14:textId="77777777" w:rsidR="00065A9E" w:rsidRDefault="00065A9E" w:rsidP="00065A9E">
      <w:pPr>
        <w:pStyle w:val="Body"/>
        <w:spacing w:after="0" w:line="240" w:lineRule="auto"/>
        <w:ind w:left="567" w:right="560"/>
        <w:jc w:val="right"/>
        <w:rPr>
          <w:rFonts w:ascii="Arial" w:hAnsi="Arial" w:cs="Arial"/>
          <w:sz w:val="21"/>
          <w:szCs w:val="21"/>
        </w:rPr>
      </w:pPr>
    </w:p>
    <w:p w14:paraId="224CC0EE" w14:textId="77777777" w:rsidR="00065A9E" w:rsidRDefault="00065A9E" w:rsidP="00065A9E">
      <w:pPr>
        <w:pStyle w:val="Body"/>
        <w:spacing w:after="0" w:line="240" w:lineRule="auto"/>
        <w:ind w:left="567" w:right="560"/>
        <w:jc w:val="right"/>
        <w:rPr>
          <w:rFonts w:ascii="Arial" w:hAnsi="Arial" w:cs="Arial"/>
          <w:sz w:val="21"/>
          <w:szCs w:val="21"/>
        </w:rPr>
      </w:pPr>
    </w:p>
    <w:p w14:paraId="75921FF5" w14:textId="77777777" w:rsidR="00065A9E" w:rsidRDefault="00065A9E" w:rsidP="00065A9E">
      <w:pPr>
        <w:pStyle w:val="Body"/>
        <w:spacing w:after="0" w:line="240" w:lineRule="auto"/>
        <w:ind w:left="567" w:right="560"/>
        <w:jc w:val="right"/>
        <w:rPr>
          <w:rFonts w:ascii="Arial" w:hAnsi="Arial" w:cs="Arial"/>
          <w:sz w:val="21"/>
          <w:szCs w:val="21"/>
        </w:rPr>
      </w:pPr>
    </w:p>
    <w:p w14:paraId="01E0EE5F" w14:textId="2D256970" w:rsidR="00065A9E" w:rsidRDefault="00065A9E" w:rsidP="00065A9E">
      <w:pPr>
        <w:pStyle w:val="Body"/>
        <w:spacing w:after="0" w:line="240" w:lineRule="auto"/>
        <w:ind w:left="567" w:right="560"/>
        <w:jc w:val="center"/>
        <w:rPr>
          <w:rFonts w:ascii="Arial" w:hAnsi="Arial" w:cs="Arial"/>
          <w:sz w:val="21"/>
          <w:szCs w:val="21"/>
        </w:rPr>
      </w:pPr>
      <w:r>
        <w:rPr>
          <w:rFonts w:ascii="Arial" w:hAnsi="Arial" w:cs="Arial"/>
          <w:sz w:val="21"/>
          <w:szCs w:val="21"/>
        </w:rPr>
        <w:t>-3-</w:t>
      </w:r>
    </w:p>
    <w:p w14:paraId="3DE7877E" w14:textId="77777777" w:rsidR="00065A9E" w:rsidRPr="00065A9E" w:rsidRDefault="00065A9E" w:rsidP="00065A9E">
      <w:pPr>
        <w:pStyle w:val="Body"/>
        <w:spacing w:after="0" w:line="240" w:lineRule="auto"/>
        <w:ind w:left="567" w:right="560"/>
        <w:jc w:val="center"/>
        <w:rPr>
          <w:rFonts w:ascii="Arial" w:hAnsi="Arial" w:cs="Arial"/>
          <w:sz w:val="21"/>
          <w:szCs w:val="21"/>
        </w:rPr>
      </w:pPr>
    </w:p>
    <w:p w14:paraId="14C743D9" w14:textId="77777777" w:rsidR="00020CFE" w:rsidRPr="00065A9E" w:rsidRDefault="00020CFE" w:rsidP="00020CFE">
      <w:pPr>
        <w:pStyle w:val="Body"/>
        <w:spacing w:after="0" w:line="240" w:lineRule="auto"/>
        <w:ind w:left="567" w:right="560"/>
        <w:jc w:val="both"/>
        <w:rPr>
          <w:rFonts w:ascii="Arial" w:hAnsi="Arial" w:cs="Arial"/>
          <w:sz w:val="21"/>
          <w:szCs w:val="21"/>
        </w:rPr>
      </w:pPr>
    </w:p>
    <w:p w14:paraId="1C6A083C" w14:textId="77777777" w:rsidR="00020CFE" w:rsidRPr="00065A9E" w:rsidRDefault="00020CFE" w:rsidP="00020CFE">
      <w:pPr>
        <w:pStyle w:val="Body"/>
        <w:spacing w:after="0" w:line="240" w:lineRule="auto"/>
        <w:ind w:left="567" w:right="560"/>
        <w:jc w:val="both"/>
        <w:rPr>
          <w:rFonts w:ascii="Arial" w:hAnsi="Arial" w:cs="Arial"/>
          <w:sz w:val="21"/>
          <w:szCs w:val="21"/>
        </w:rPr>
      </w:pPr>
      <w:r w:rsidRPr="00065A9E">
        <w:rPr>
          <w:rFonts w:ascii="Arial" w:hAnsi="Arial" w:cs="Arial"/>
          <w:sz w:val="21"/>
          <w:szCs w:val="21"/>
        </w:rPr>
        <w:t>Further reports will be issued as information becomes available.</w:t>
      </w:r>
    </w:p>
    <w:p w14:paraId="39EB1E27" w14:textId="77777777" w:rsidR="00020CFE" w:rsidRPr="00065A9E" w:rsidRDefault="00020CFE" w:rsidP="00020CFE">
      <w:pPr>
        <w:pStyle w:val="Body"/>
        <w:spacing w:after="0" w:line="240" w:lineRule="auto"/>
        <w:ind w:left="567" w:right="560"/>
        <w:jc w:val="both"/>
        <w:rPr>
          <w:rFonts w:ascii="Arial" w:hAnsi="Arial" w:cs="Arial"/>
          <w:sz w:val="21"/>
          <w:szCs w:val="21"/>
        </w:rPr>
      </w:pPr>
    </w:p>
    <w:p w14:paraId="505BC797" w14:textId="2ACA9CB9" w:rsidR="0008055C" w:rsidRPr="00065A9E" w:rsidRDefault="0008055C" w:rsidP="00020CFE">
      <w:pPr>
        <w:pStyle w:val="Body"/>
        <w:spacing w:after="0" w:line="240" w:lineRule="auto"/>
        <w:ind w:left="567" w:right="560"/>
        <w:jc w:val="both"/>
        <w:rPr>
          <w:rFonts w:ascii="Arial" w:hAnsi="Arial" w:cs="Arial"/>
          <w:sz w:val="21"/>
          <w:szCs w:val="21"/>
        </w:rPr>
      </w:pPr>
      <w:r w:rsidRPr="00065A9E">
        <w:rPr>
          <w:rFonts w:ascii="Arial" w:hAnsi="Arial" w:cs="Arial"/>
          <w:color w:val="000000" w:themeColor="text1"/>
          <w:sz w:val="21"/>
          <w:szCs w:val="21"/>
        </w:rPr>
        <w:t>Best wishes.</w:t>
      </w:r>
    </w:p>
    <w:p w14:paraId="6C04CE16" w14:textId="77777777" w:rsidR="0008055C" w:rsidRPr="00065A9E" w:rsidRDefault="0008055C" w:rsidP="00F03D6D">
      <w:pPr>
        <w:tabs>
          <w:tab w:val="left" w:pos="9498"/>
          <w:tab w:val="left" w:pos="9639"/>
          <w:tab w:val="left" w:pos="9781"/>
          <w:tab w:val="left" w:pos="9923"/>
        </w:tabs>
        <w:spacing w:line="240" w:lineRule="auto"/>
        <w:ind w:left="567" w:right="560"/>
        <w:jc w:val="both"/>
        <w:rPr>
          <w:rFonts w:ascii="Arial" w:hAnsi="Arial" w:cs="Arial"/>
          <w:color w:val="000000" w:themeColor="text1"/>
          <w:sz w:val="21"/>
          <w:szCs w:val="21"/>
        </w:rPr>
      </w:pPr>
    </w:p>
    <w:p w14:paraId="0F6300DB" w14:textId="77777777" w:rsidR="0008055C" w:rsidRPr="00065A9E" w:rsidRDefault="0008055C" w:rsidP="00F03D6D">
      <w:pPr>
        <w:tabs>
          <w:tab w:val="left" w:pos="9498"/>
          <w:tab w:val="left" w:pos="9639"/>
          <w:tab w:val="left" w:pos="9781"/>
          <w:tab w:val="left" w:pos="9923"/>
        </w:tabs>
        <w:spacing w:line="240" w:lineRule="auto"/>
        <w:ind w:left="567" w:right="560"/>
        <w:jc w:val="both"/>
        <w:rPr>
          <w:rFonts w:ascii="Arial" w:hAnsi="Arial" w:cs="Arial"/>
          <w:color w:val="000000" w:themeColor="text1"/>
          <w:sz w:val="21"/>
          <w:szCs w:val="21"/>
        </w:rPr>
      </w:pPr>
      <w:r w:rsidRPr="00065A9E">
        <w:rPr>
          <w:rFonts w:ascii="Arial" w:hAnsi="Arial" w:cs="Arial"/>
          <w:color w:val="000000" w:themeColor="text1"/>
          <w:sz w:val="21"/>
          <w:szCs w:val="21"/>
        </w:rPr>
        <w:t>Yours fraternally</w:t>
      </w:r>
    </w:p>
    <w:p w14:paraId="64248389" w14:textId="77777777" w:rsidR="0008055C" w:rsidRPr="00065A9E" w:rsidRDefault="0008055C" w:rsidP="00F03D6D">
      <w:pPr>
        <w:tabs>
          <w:tab w:val="left" w:pos="9498"/>
          <w:tab w:val="left" w:pos="9639"/>
          <w:tab w:val="left" w:pos="9781"/>
          <w:tab w:val="left" w:pos="9923"/>
        </w:tabs>
        <w:spacing w:line="240" w:lineRule="auto"/>
        <w:ind w:left="567" w:right="560"/>
        <w:jc w:val="both"/>
        <w:rPr>
          <w:rFonts w:ascii="Arial" w:hAnsi="Arial" w:cs="Arial"/>
          <w:color w:val="000000" w:themeColor="text1"/>
          <w:sz w:val="21"/>
          <w:szCs w:val="21"/>
        </w:rPr>
      </w:pPr>
    </w:p>
    <w:p w14:paraId="67D6FE87" w14:textId="77777777" w:rsidR="0008055C" w:rsidRPr="00065A9E" w:rsidRDefault="0008055C" w:rsidP="00F03D6D">
      <w:pPr>
        <w:tabs>
          <w:tab w:val="left" w:pos="9498"/>
          <w:tab w:val="left" w:pos="9639"/>
          <w:tab w:val="left" w:pos="9781"/>
          <w:tab w:val="left" w:pos="9923"/>
        </w:tabs>
        <w:spacing w:line="240" w:lineRule="auto"/>
        <w:ind w:left="567" w:right="560"/>
        <w:jc w:val="both"/>
        <w:rPr>
          <w:rFonts w:ascii="Arial" w:hAnsi="Arial" w:cs="Arial"/>
          <w:b/>
          <w:color w:val="000000" w:themeColor="text1"/>
          <w:sz w:val="21"/>
          <w:szCs w:val="21"/>
        </w:rPr>
      </w:pPr>
      <w:r w:rsidRPr="00065A9E">
        <w:rPr>
          <w:rFonts w:ascii="Arial" w:hAnsi="Arial" w:cs="Arial"/>
          <w:noProof/>
          <w:color w:val="000000" w:themeColor="text1"/>
          <w:sz w:val="21"/>
          <w:szCs w:val="21"/>
          <w:lang w:eastAsia="en-GB"/>
        </w:rPr>
        <w:drawing>
          <wp:inline distT="0" distB="0" distL="0" distR="0" wp14:anchorId="2923F300" wp14:editId="632E1273">
            <wp:extent cx="1600200" cy="4476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00200" cy="447675"/>
                    </a:xfrm>
                    <a:prstGeom prst="rect">
                      <a:avLst/>
                    </a:prstGeom>
                    <a:noFill/>
                    <a:ln>
                      <a:noFill/>
                    </a:ln>
                  </pic:spPr>
                </pic:pic>
              </a:graphicData>
            </a:graphic>
          </wp:inline>
        </w:drawing>
      </w:r>
    </w:p>
    <w:p w14:paraId="3DEF6021" w14:textId="77777777" w:rsidR="0008055C" w:rsidRPr="00065A9E" w:rsidRDefault="0008055C" w:rsidP="00F03D6D">
      <w:pPr>
        <w:tabs>
          <w:tab w:val="left" w:pos="9498"/>
          <w:tab w:val="left" w:pos="9639"/>
          <w:tab w:val="left" w:pos="9781"/>
          <w:tab w:val="left" w:pos="9923"/>
        </w:tabs>
        <w:spacing w:line="240" w:lineRule="auto"/>
        <w:ind w:left="567" w:right="560"/>
        <w:jc w:val="both"/>
        <w:rPr>
          <w:rFonts w:ascii="Arial" w:hAnsi="Arial" w:cs="Arial"/>
          <w:b/>
          <w:color w:val="000000" w:themeColor="text1"/>
          <w:sz w:val="21"/>
          <w:szCs w:val="21"/>
        </w:rPr>
      </w:pPr>
    </w:p>
    <w:p w14:paraId="234798B9" w14:textId="77777777" w:rsidR="0008055C" w:rsidRPr="00065A9E" w:rsidRDefault="0008055C" w:rsidP="00F03D6D">
      <w:pPr>
        <w:tabs>
          <w:tab w:val="left" w:pos="9498"/>
          <w:tab w:val="left" w:pos="9639"/>
          <w:tab w:val="left" w:pos="9781"/>
          <w:tab w:val="left" w:pos="9923"/>
        </w:tabs>
        <w:spacing w:line="240" w:lineRule="auto"/>
        <w:ind w:left="567" w:right="560"/>
        <w:jc w:val="both"/>
        <w:rPr>
          <w:rFonts w:ascii="Arial" w:hAnsi="Arial" w:cs="Arial"/>
          <w:b/>
          <w:color w:val="000000" w:themeColor="text1"/>
          <w:sz w:val="21"/>
          <w:szCs w:val="21"/>
        </w:rPr>
      </w:pPr>
    </w:p>
    <w:p w14:paraId="0CBAB6AB" w14:textId="77777777" w:rsidR="0008055C" w:rsidRPr="00065A9E" w:rsidRDefault="0008055C" w:rsidP="00F03D6D">
      <w:pPr>
        <w:tabs>
          <w:tab w:val="left" w:pos="9498"/>
          <w:tab w:val="left" w:pos="9639"/>
          <w:tab w:val="left" w:pos="9781"/>
          <w:tab w:val="left" w:pos="9923"/>
        </w:tabs>
        <w:spacing w:line="240" w:lineRule="auto"/>
        <w:ind w:left="567" w:right="560"/>
        <w:jc w:val="both"/>
        <w:rPr>
          <w:rFonts w:ascii="Arial" w:hAnsi="Arial" w:cs="Arial"/>
          <w:b/>
          <w:color w:val="000000" w:themeColor="text1"/>
          <w:sz w:val="21"/>
          <w:szCs w:val="21"/>
        </w:rPr>
      </w:pPr>
      <w:r w:rsidRPr="00065A9E">
        <w:rPr>
          <w:rFonts w:ascii="Arial" w:hAnsi="Arial" w:cs="Arial"/>
          <w:b/>
          <w:color w:val="000000" w:themeColor="text1"/>
          <w:sz w:val="21"/>
          <w:szCs w:val="21"/>
        </w:rPr>
        <w:t>Matt Wrack</w:t>
      </w:r>
    </w:p>
    <w:p w14:paraId="71FE8035" w14:textId="77777777" w:rsidR="0008055C" w:rsidRPr="00065A9E" w:rsidRDefault="0008055C" w:rsidP="00F03D6D">
      <w:pPr>
        <w:tabs>
          <w:tab w:val="left" w:pos="9498"/>
          <w:tab w:val="left" w:pos="9639"/>
          <w:tab w:val="left" w:pos="9781"/>
          <w:tab w:val="left" w:pos="9923"/>
        </w:tabs>
        <w:spacing w:line="240" w:lineRule="auto"/>
        <w:ind w:left="567" w:right="560"/>
        <w:jc w:val="both"/>
        <w:rPr>
          <w:rFonts w:ascii="Arial" w:hAnsi="Arial" w:cs="Arial"/>
          <w:b/>
          <w:color w:val="000000" w:themeColor="text1"/>
          <w:sz w:val="21"/>
          <w:szCs w:val="21"/>
        </w:rPr>
      </w:pPr>
      <w:r w:rsidRPr="00065A9E">
        <w:rPr>
          <w:rFonts w:ascii="Arial" w:hAnsi="Arial" w:cs="Arial"/>
          <w:b/>
          <w:color w:val="000000" w:themeColor="text1"/>
          <w:sz w:val="21"/>
          <w:szCs w:val="21"/>
        </w:rPr>
        <w:t>General Secretary</w:t>
      </w:r>
    </w:p>
    <w:p w14:paraId="4B895309" w14:textId="77777777" w:rsidR="0008055C" w:rsidRPr="00065A9E" w:rsidRDefault="0008055C" w:rsidP="00F03D6D">
      <w:pPr>
        <w:tabs>
          <w:tab w:val="left" w:pos="1320"/>
          <w:tab w:val="left" w:pos="9498"/>
          <w:tab w:val="left" w:pos="9639"/>
          <w:tab w:val="left" w:pos="9781"/>
          <w:tab w:val="left" w:pos="9923"/>
        </w:tabs>
        <w:spacing w:line="240" w:lineRule="auto"/>
        <w:ind w:left="567" w:right="560"/>
        <w:jc w:val="both"/>
        <w:rPr>
          <w:rFonts w:ascii="Arial" w:hAnsi="Arial" w:cs="Arial"/>
          <w:color w:val="000000" w:themeColor="text1"/>
          <w:sz w:val="21"/>
          <w:szCs w:val="21"/>
        </w:rPr>
      </w:pPr>
      <w:bookmarkStart w:id="0" w:name="_GoBack"/>
      <w:bookmarkEnd w:id="0"/>
    </w:p>
    <w:p w14:paraId="1E8BAD7C" w14:textId="77777777" w:rsidR="0008055C" w:rsidRPr="00065A9E" w:rsidRDefault="0008055C" w:rsidP="00F03D6D">
      <w:pPr>
        <w:tabs>
          <w:tab w:val="left" w:pos="1320"/>
          <w:tab w:val="left" w:pos="9498"/>
          <w:tab w:val="left" w:pos="9639"/>
          <w:tab w:val="left" w:pos="9781"/>
          <w:tab w:val="left" w:pos="9923"/>
        </w:tabs>
        <w:spacing w:line="240" w:lineRule="auto"/>
        <w:ind w:left="567" w:right="560"/>
        <w:jc w:val="both"/>
        <w:rPr>
          <w:rFonts w:ascii="Arial" w:hAnsi="Arial" w:cs="Arial"/>
          <w:color w:val="000000" w:themeColor="text1"/>
          <w:sz w:val="21"/>
          <w:szCs w:val="21"/>
        </w:rPr>
      </w:pPr>
    </w:p>
    <w:p w14:paraId="6E435BC1" w14:textId="733E1444" w:rsidR="0008055C" w:rsidRPr="00065A9E" w:rsidRDefault="0008055C" w:rsidP="00F03D6D">
      <w:pPr>
        <w:tabs>
          <w:tab w:val="left" w:pos="1320"/>
          <w:tab w:val="left" w:pos="9498"/>
          <w:tab w:val="left" w:pos="9639"/>
          <w:tab w:val="left" w:pos="9781"/>
          <w:tab w:val="left" w:pos="9923"/>
        </w:tabs>
        <w:spacing w:line="240" w:lineRule="auto"/>
        <w:ind w:left="567" w:right="560"/>
        <w:jc w:val="both"/>
        <w:rPr>
          <w:rFonts w:ascii="Arial" w:hAnsi="Arial" w:cs="Arial"/>
          <w:color w:val="000000" w:themeColor="text1"/>
          <w:sz w:val="21"/>
          <w:szCs w:val="21"/>
        </w:rPr>
      </w:pPr>
      <w:r w:rsidRPr="00065A9E">
        <w:rPr>
          <w:rFonts w:ascii="Arial" w:hAnsi="Arial" w:cs="Arial"/>
          <w:color w:val="000000" w:themeColor="text1"/>
          <w:sz w:val="21"/>
          <w:szCs w:val="21"/>
        </w:rPr>
        <w:t>MW/</w:t>
      </w:r>
      <w:proofErr w:type="spellStart"/>
      <w:r w:rsidRPr="00065A9E">
        <w:rPr>
          <w:rFonts w:ascii="Arial" w:hAnsi="Arial" w:cs="Arial"/>
          <w:color w:val="000000" w:themeColor="text1"/>
          <w:sz w:val="21"/>
          <w:szCs w:val="21"/>
        </w:rPr>
        <w:t>sll</w:t>
      </w:r>
      <w:proofErr w:type="spellEnd"/>
    </w:p>
    <w:p w14:paraId="3A381641" w14:textId="334F8D56" w:rsidR="00560043" w:rsidRPr="0008055C" w:rsidRDefault="00560043" w:rsidP="00300FDD">
      <w:pPr>
        <w:tabs>
          <w:tab w:val="left" w:pos="1320"/>
          <w:tab w:val="left" w:pos="9498"/>
          <w:tab w:val="left" w:pos="9639"/>
          <w:tab w:val="left" w:pos="9781"/>
          <w:tab w:val="left" w:pos="9923"/>
        </w:tabs>
        <w:spacing w:line="240" w:lineRule="auto"/>
        <w:ind w:left="567" w:right="560"/>
        <w:jc w:val="both"/>
        <w:rPr>
          <w:rFonts w:ascii="Arial" w:hAnsi="Arial" w:cs="Arial"/>
          <w:color w:val="000000" w:themeColor="text1"/>
          <w:sz w:val="21"/>
          <w:szCs w:val="21"/>
        </w:rPr>
      </w:pPr>
    </w:p>
    <w:sectPr w:rsidR="00560043" w:rsidRPr="0008055C" w:rsidSect="00AC0839">
      <w:headerReference w:type="default" r:id="rId8"/>
      <w:headerReference w:type="first" r:id="rId9"/>
      <w:pgSz w:w="11900" w:h="16840"/>
      <w:pgMar w:top="1134" w:right="567" w:bottom="249" w:left="567" w:header="0" w:footer="5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E1EABB" w14:textId="77777777" w:rsidR="00482B12" w:rsidRDefault="00482B12" w:rsidP="00287DFF">
      <w:pPr>
        <w:spacing w:line="240" w:lineRule="auto"/>
      </w:pPr>
      <w:r>
        <w:separator/>
      </w:r>
    </w:p>
  </w:endnote>
  <w:endnote w:type="continuationSeparator" w:id="0">
    <w:p w14:paraId="5A8AAE9B" w14:textId="77777777" w:rsidR="00482B12" w:rsidRDefault="00482B12" w:rsidP="00287D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F11958" w14:textId="77777777" w:rsidR="00482B12" w:rsidRDefault="00482B12" w:rsidP="00287DFF">
      <w:pPr>
        <w:spacing w:line="240" w:lineRule="auto"/>
      </w:pPr>
      <w:r>
        <w:separator/>
      </w:r>
    </w:p>
  </w:footnote>
  <w:footnote w:type="continuationSeparator" w:id="0">
    <w:p w14:paraId="2664B2BC" w14:textId="77777777" w:rsidR="00482B12" w:rsidRDefault="00482B12" w:rsidP="00287DF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782B6B" w14:textId="77777777" w:rsidR="00353C5E" w:rsidRDefault="00353C5E" w:rsidP="00287DFF">
    <w:pPr>
      <w:pStyle w:val="Header"/>
      <w:ind w:left="567" w:right="567" w:hanging="56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17761" w14:textId="77777777" w:rsidR="00353C5E" w:rsidRDefault="0084538B" w:rsidP="00173C50">
    <w:pPr>
      <w:pStyle w:val="Header"/>
      <w:ind w:hanging="142"/>
    </w:pPr>
    <w:r>
      <w:rPr>
        <w:noProof/>
        <w:lang w:eastAsia="en-GB"/>
      </w:rPr>
      <w:drawing>
        <wp:inline distT="0" distB="0" distL="0" distR="0" wp14:anchorId="5F239AE7" wp14:editId="73FA7871">
          <wp:extent cx="7019925" cy="2171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9925" cy="21717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A459F"/>
    <w:multiLevelType w:val="hybridMultilevel"/>
    <w:tmpl w:val="3522D240"/>
    <w:lvl w:ilvl="0" w:tplc="08090017">
      <w:start w:val="1"/>
      <w:numFmt w:val="lowerLetter"/>
      <w:lvlText w:val="%1)"/>
      <w:lvlJc w:val="left"/>
      <w:pPr>
        <w:ind w:left="1854" w:hanging="360"/>
      </w:pPr>
    </w:lvl>
    <w:lvl w:ilvl="1" w:tplc="08090019">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1" w15:restartNumberingAfterBreak="0">
    <w:nsid w:val="08AE1BB9"/>
    <w:multiLevelType w:val="hybridMultilevel"/>
    <w:tmpl w:val="D5C467F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5E57D3"/>
    <w:multiLevelType w:val="hybridMultilevel"/>
    <w:tmpl w:val="0B16A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D22014"/>
    <w:multiLevelType w:val="hybridMultilevel"/>
    <w:tmpl w:val="B5808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8C628F"/>
    <w:multiLevelType w:val="hybridMultilevel"/>
    <w:tmpl w:val="BAA871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8E6C63"/>
    <w:multiLevelType w:val="hybridMultilevel"/>
    <w:tmpl w:val="9CC60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9C6F4B"/>
    <w:multiLevelType w:val="multilevel"/>
    <w:tmpl w:val="99D27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B7266F4"/>
    <w:multiLevelType w:val="hybridMultilevel"/>
    <w:tmpl w:val="E9E49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9C3851"/>
    <w:multiLevelType w:val="hybridMultilevel"/>
    <w:tmpl w:val="6B18F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B75557"/>
    <w:multiLevelType w:val="hybridMultilevel"/>
    <w:tmpl w:val="6868B3E0"/>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0" w15:restartNumberingAfterBreak="0">
    <w:nsid w:val="36C142CF"/>
    <w:multiLevelType w:val="hybridMultilevel"/>
    <w:tmpl w:val="88B88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7245C7"/>
    <w:multiLevelType w:val="hybridMultilevel"/>
    <w:tmpl w:val="71E60A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7776AF"/>
    <w:multiLevelType w:val="hybridMultilevel"/>
    <w:tmpl w:val="DDE64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152A84"/>
    <w:multiLevelType w:val="hybridMultilevel"/>
    <w:tmpl w:val="89FAB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AD2494"/>
    <w:multiLevelType w:val="hybridMultilevel"/>
    <w:tmpl w:val="657CA516"/>
    <w:numStyleLink w:val="ImportedStyle3"/>
  </w:abstractNum>
  <w:abstractNum w:abstractNumId="15" w15:restartNumberingAfterBreak="0">
    <w:nsid w:val="55E45FAB"/>
    <w:multiLevelType w:val="hybridMultilevel"/>
    <w:tmpl w:val="533CB9B8"/>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6" w15:restartNumberingAfterBreak="0">
    <w:nsid w:val="61762D79"/>
    <w:multiLevelType w:val="hybridMultilevel"/>
    <w:tmpl w:val="84BED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655EEF"/>
    <w:multiLevelType w:val="hybridMultilevel"/>
    <w:tmpl w:val="657CA516"/>
    <w:styleLink w:val="ImportedStyle3"/>
    <w:lvl w:ilvl="0" w:tplc="CCA43302">
      <w:start w:val="1"/>
      <w:numFmt w:val="bullet"/>
      <w:lvlText w:val="•"/>
      <w:lvlJc w:val="left"/>
      <w:pPr>
        <w:ind w:left="567" w:hanging="567"/>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1E284AE0">
      <w:start w:val="1"/>
      <w:numFmt w:val="bullet"/>
      <w:lvlText w:val="o"/>
      <w:lvlJc w:val="left"/>
      <w:pPr>
        <w:ind w:left="1287" w:hanging="567"/>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F5401C00">
      <w:start w:val="1"/>
      <w:numFmt w:val="bullet"/>
      <w:lvlText w:val="▪"/>
      <w:lvlJc w:val="left"/>
      <w:pPr>
        <w:ind w:left="2007" w:hanging="567"/>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96D84334">
      <w:start w:val="1"/>
      <w:numFmt w:val="bullet"/>
      <w:lvlText w:val="•"/>
      <w:lvlJc w:val="left"/>
      <w:pPr>
        <w:ind w:left="2727" w:hanging="567"/>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70E0DF96">
      <w:start w:val="1"/>
      <w:numFmt w:val="bullet"/>
      <w:lvlText w:val="o"/>
      <w:lvlJc w:val="left"/>
      <w:pPr>
        <w:ind w:left="3447" w:hanging="567"/>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37FC1308">
      <w:start w:val="1"/>
      <w:numFmt w:val="bullet"/>
      <w:lvlText w:val="▪"/>
      <w:lvlJc w:val="left"/>
      <w:pPr>
        <w:ind w:left="4167" w:hanging="567"/>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86B4292E">
      <w:start w:val="1"/>
      <w:numFmt w:val="bullet"/>
      <w:lvlText w:val="•"/>
      <w:lvlJc w:val="left"/>
      <w:pPr>
        <w:ind w:left="4887" w:hanging="567"/>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40682FB8">
      <w:start w:val="1"/>
      <w:numFmt w:val="bullet"/>
      <w:lvlText w:val="o"/>
      <w:lvlJc w:val="left"/>
      <w:pPr>
        <w:ind w:left="5607" w:hanging="567"/>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0DFE4050">
      <w:start w:val="1"/>
      <w:numFmt w:val="bullet"/>
      <w:lvlText w:val="▪"/>
      <w:lvlJc w:val="left"/>
      <w:pPr>
        <w:ind w:left="6327" w:hanging="567"/>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8" w15:restartNumberingAfterBreak="0">
    <w:nsid w:val="64E73C28"/>
    <w:multiLevelType w:val="hybridMultilevel"/>
    <w:tmpl w:val="A3B26FF2"/>
    <w:lvl w:ilvl="0" w:tplc="0809000F">
      <w:start w:val="1"/>
      <w:numFmt w:val="decimal"/>
      <w:lvlText w:val="%1."/>
      <w:lvlJc w:val="left"/>
      <w:pPr>
        <w:ind w:left="720" w:hanging="360"/>
      </w:pPr>
    </w:lvl>
    <w:lvl w:ilvl="1" w:tplc="1494ED96">
      <w:start w:val="1"/>
      <w:numFmt w:val="decimal"/>
      <w:lvlText w:val="%2."/>
      <w:lvlJc w:val="left"/>
      <w:pPr>
        <w:ind w:left="1680" w:hanging="600"/>
      </w:pPr>
      <w:rPr>
        <w:rFonts w:hint="default"/>
        <w:b/>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85B48C1"/>
    <w:multiLevelType w:val="hybridMultilevel"/>
    <w:tmpl w:val="7C34796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01">
      <w:start w:val="1"/>
      <w:numFmt w:val="bullet"/>
      <w:lvlText w:val=""/>
      <w:lvlJc w:val="left"/>
      <w:pPr>
        <w:ind w:left="2160" w:hanging="180"/>
      </w:pPr>
      <w:rPr>
        <w:rFonts w:ascii="Symbol" w:hAnsi="Symbo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E6F65AA"/>
    <w:multiLevelType w:val="hybridMultilevel"/>
    <w:tmpl w:val="CFF6A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07050AD"/>
    <w:multiLevelType w:val="hybridMultilevel"/>
    <w:tmpl w:val="A1F80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3BD6A42"/>
    <w:multiLevelType w:val="hybridMultilevel"/>
    <w:tmpl w:val="47CE0460"/>
    <w:lvl w:ilvl="0" w:tplc="08090001">
      <w:start w:val="1"/>
      <w:numFmt w:val="bullet"/>
      <w:lvlText w:val="•"/>
      <w:lvlJc w:val="left"/>
      <w:pPr>
        <w:ind w:left="567" w:hanging="567"/>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45A6B4B"/>
    <w:multiLevelType w:val="hybridMultilevel"/>
    <w:tmpl w:val="B372959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7BB22DEB"/>
    <w:multiLevelType w:val="hybridMultilevel"/>
    <w:tmpl w:val="BB4CE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4"/>
  </w:num>
  <w:num w:numId="2">
    <w:abstractNumId w:val="21"/>
  </w:num>
  <w:num w:numId="3">
    <w:abstractNumId w:val="13"/>
  </w:num>
  <w:num w:numId="4">
    <w:abstractNumId w:val="15"/>
  </w:num>
  <w:num w:numId="5">
    <w:abstractNumId w:val="20"/>
  </w:num>
  <w:num w:numId="6">
    <w:abstractNumId w:val="23"/>
  </w:num>
  <w:num w:numId="7">
    <w:abstractNumId w:val="6"/>
  </w:num>
  <w:num w:numId="8">
    <w:abstractNumId w:val="2"/>
  </w:num>
  <w:num w:numId="9">
    <w:abstractNumId w:val="7"/>
  </w:num>
  <w:num w:numId="10">
    <w:abstractNumId w:val="5"/>
  </w:num>
  <w:num w:numId="11">
    <w:abstractNumId w:val="12"/>
  </w:num>
  <w:num w:numId="12">
    <w:abstractNumId w:val="19"/>
  </w:num>
  <w:num w:numId="13">
    <w:abstractNumId w:val="3"/>
  </w:num>
  <w:num w:numId="14">
    <w:abstractNumId w:val="1"/>
  </w:num>
  <w:num w:numId="15">
    <w:abstractNumId w:val="11"/>
  </w:num>
  <w:num w:numId="16">
    <w:abstractNumId w:val="18"/>
  </w:num>
  <w:num w:numId="17">
    <w:abstractNumId w:val="8"/>
  </w:num>
  <w:num w:numId="18">
    <w:abstractNumId w:val="0"/>
  </w:num>
  <w:num w:numId="19">
    <w:abstractNumId w:val="10"/>
  </w:num>
  <w:num w:numId="20">
    <w:abstractNumId w:val="9"/>
  </w:num>
  <w:num w:numId="21">
    <w:abstractNumId w:val="17"/>
  </w:num>
  <w:num w:numId="22">
    <w:abstractNumId w:val="14"/>
  </w:num>
  <w:num w:numId="23">
    <w:abstractNumId w:val="22"/>
  </w:num>
  <w:num w:numId="24">
    <w:abstractNumId w:val="4"/>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jE1MzYyMzU2tDCxMDJU0lEKTi0uzszPAykwrAUAzMIFdSwAAAA="/>
  </w:docVars>
  <w:rsids>
    <w:rsidRoot w:val="00312AF2"/>
    <w:rsid w:val="00020CFE"/>
    <w:rsid w:val="00021F32"/>
    <w:rsid w:val="00040D9E"/>
    <w:rsid w:val="000573FF"/>
    <w:rsid w:val="000633D9"/>
    <w:rsid w:val="00065A9E"/>
    <w:rsid w:val="0007732D"/>
    <w:rsid w:val="0008055C"/>
    <w:rsid w:val="0008347B"/>
    <w:rsid w:val="0008602E"/>
    <w:rsid w:val="00090BF4"/>
    <w:rsid w:val="00092EEA"/>
    <w:rsid w:val="00093B06"/>
    <w:rsid w:val="000C165A"/>
    <w:rsid w:val="000D35A1"/>
    <w:rsid w:val="000F605D"/>
    <w:rsid w:val="00103C8C"/>
    <w:rsid w:val="001161F8"/>
    <w:rsid w:val="0012181C"/>
    <w:rsid w:val="00125233"/>
    <w:rsid w:val="001268AB"/>
    <w:rsid w:val="00167F52"/>
    <w:rsid w:val="00173C50"/>
    <w:rsid w:val="00191AFD"/>
    <w:rsid w:val="001968FA"/>
    <w:rsid w:val="001E2008"/>
    <w:rsid w:val="00202B9F"/>
    <w:rsid w:val="00221F25"/>
    <w:rsid w:val="00226920"/>
    <w:rsid w:val="00234786"/>
    <w:rsid w:val="00237EAC"/>
    <w:rsid w:val="00244E90"/>
    <w:rsid w:val="002513E9"/>
    <w:rsid w:val="00251EDE"/>
    <w:rsid w:val="00263CCF"/>
    <w:rsid w:val="00274427"/>
    <w:rsid w:val="00286A9A"/>
    <w:rsid w:val="00287DFF"/>
    <w:rsid w:val="002A2A35"/>
    <w:rsid w:val="002C066B"/>
    <w:rsid w:val="002D1E7F"/>
    <w:rsid w:val="00300FDD"/>
    <w:rsid w:val="00312AF2"/>
    <w:rsid w:val="003525CA"/>
    <w:rsid w:val="00353C5E"/>
    <w:rsid w:val="00364050"/>
    <w:rsid w:val="00380FDA"/>
    <w:rsid w:val="003D5172"/>
    <w:rsid w:val="00410609"/>
    <w:rsid w:val="00420C84"/>
    <w:rsid w:val="004401B0"/>
    <w:rsid w:val="00444589"/>
    <w:rsid w:val="00452033"/>
    <w:rsid w:val="00453D68"/>
    <w:rsid w:val="0046085E"/>
    <w:rsid w:val="00482B12"/>
    <w:rsid w:val="004B1A2F"/>
    <w:rsid w:val="004D0276"/>
    <w:rsid w:val="00511F34"/>
    <w:rsid w:val="005322F5"/>
    <w:rsid w:val="00552D78"/>
    <w:rsid w:val="00560043"/>
    <w:rsid w:val="00577A3B"/>
    <w:rsid w:val="0059020B"/>
    <w:rsid w:val="005E3C5F"/>
    <w:rsid w:val="006165AA"/>
    <w:rsid w:val="00627C21"/>
    <w:rsid w:val="00643564"/>
    <w:rsid w:val="00653484"/>
    <w:rsid w:val="006B5F1A"/>
    <w:rsid w:val="0070642E"/>
    <w:rsid w:val="00707103"/>
    <w:rsid w:val="00710F3A"/>
    <w:rsid w:val="00715D27"/>
    <w:rsid w:val="007335F2"/>
    <w:rsid w:val="00743ECB"/>
    <w:rsid w:val="007A226D"/>
    <w:rsid w:val="007C27F8"/>
    <w:rsid w:val="007C7F41"/>
    <w:rsid w:val="007D75C3"/>
    <w:rsid w:val="007E728A"/>
    <w:rsid w:val="00806C6D"/>
    <w:rsid w:val="00810437"/>
    <w:rsid w:val="00821253"/>
    <w:rsid w:val="0084538B"/>
    <w:rsid w:val="0085506A"/>
    <w:rsid w:val="0087137D"/>
    <w:rsid w:val="00874CB5"/>
    <w:rsid w:val="00883EED"/>
    <w:rsid w:val="008865CF"/>
    <w:rsid w:val="008C387F"/>
    <w:rsid w:val="008F07E6"/>
    <w:rsid w:val="00903E17"/>
    <w:rsid w:val="00904EC7"/>
    <w:rsid w:val="00947553"/>
    <w:rsid w:val="00975054"/>
    <w:rsid w:val="00981FDA"/>
    <w:rsid w:val="0099027D"/>
    <w:rsid w:val="00996944"/>
    <w:rsid w:val="009B4C02"/>
    <w:rsid w:val="009C1930"/>
    <w:rsid w:val="009D390C"/>
    <w:rsid w:val="00A06765"/>
    <w:rsid w:val="00A21FCB"/>
    <w:rsid w:val="00A24397"/>
    <w:rsid w:val="00A24A9C"/>
    <w:rsid w:val="00A64F96"/>
    <w:rsid w:val="00AB52EA"/>
    <w:rsid w:val="00AC0839"/>
    <w:rsid w:val="00AF03B7"/>
    <w:rsid w:val="00B1208D"/>
    <w:rsid w:val="00B14A1C"/>
    <w:rsid w:val="00B17F87"/>
    <w:rsid w:val="00B373F6"/>
    <w:rsid w:val="00B72B33"/>
    <w:rsid w:val="00B93509"/>
    <w:rsid w:val="00BA0F0C"/>
    <w:rsid w:val="00BB1FC8"/>
    <w:rsid w:val="00BD05EE"/>
    <w:rsid w:val="00BD3A45"/>
    <w:rsid w:val="00BD659B"/>
    <w:rsid w:val="00C11EF0"/>
    <w:rsid w:val="00C123C8"/>
    <w:rsid w:val="00C1486B"/>
    <w:rsid w:val="00C15307"/>
    <w:rsid w:val="00C244D9"/>
    <w:rsid w:val="00C51D89"/>
    <w:rsid w:val="00CD0EE5"/>
    <w:rsid w:val="00CF2480"/>
    <w:rsid w:val="00D348FF"/>
    <w:rsid w:val="00D91405"/>
    <w:rsid w:val="00DA6D5C"/>
    <w:rsid w:val="00DC6D32"/>
    <w:rsid w:val="00DE2763"/>
    <w:rsid w:val="00DE3E21"/>
    <w:rsid w:val="00DE7250"/>
    <w:rsid w:val="00E05292"/>
    <w:rsid w:val="00E06A62"/>
    <w:rsid w:val="00E06E92"/>
    <w:rsid w:val="00E07AFD"/>
    <w:rsid w:val="00E2565E"/>
    <w:rsid w:val="00E64A88"/>
    <w:rsid w:val="00E75087"/>
    <w:rsid w:val="00EE7B1F"/>
    <w:rsid w:val="00F03D6D"/>
    <w:rsid w:val="00F11254"/>
    <w:rsid w:val="00F2371B"/>
    <w:rsid w:val="00F35C4F"/>
    <w:rsid w:val="00F7655A"/>
    <w:rsid w:val="00F81B0A"/>
    <w:rsid w:val="00FE3C28"/>
    <w:rsid w:val="00FF57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557C11"/>
  <w15:docId w15:val="{EE59DDFD-FF4F-4A9A-A962-4AD497AEC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6A62"/>
    <w:pPr>
      <w:spacing w:line="360" w:lineRule="auto"/>
    </w:pPr>
    <w:rPr>
      <w:sz w:val="24"/>
      <w:szCs w:val="24"/>
      <w:lang w:eastAsia="en-US"/>
    </w:rPr>
  </w:style>
  <w:style w:type="paragraph" w:styleId="Heading3">
    <w:name w:val="heading 3"/>
    <w:basedOn w:val="Normal"/>
    <w:next w:val="Normal"/>
    <w:link w:val="Heading3Char"/>
    <w:uiPriority w:val="99"/>
    <w:qFormat/>
    <w:rsid w:val="00093B06"/>
    <w:pPr>
      <w:keepNext/>
      <w:spacing w:before="240" w:after="60" w:line="240" w:lineRule="auto"/>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093B06"/>
    <w:rPr>
      <w:rFonts w:ascii="Arial" w:hAnsi="Arial" w:cs="Arial"/>
      <w:b/>
      <w:bCs/>
      <w:sz w:val="26"/>
      <w:szCs w:val="26"/>
    </w:rPr>
  </w:style>
  <w:style w:type="paragraph" w:styleId="Header">
    <w:name w:val="header"/>
    <w:basedOn w:val="Normal"/>
    <w:link w:val="HeaderChar"/>
    <w:uiPriority w:val="99"/>
    <w:rsid w:val="00287DFF"/>
    <w:pPr>
      <w:tabs>
        <w:tab w:val="center" w:pos="4513"/>
        <w:tab w:val="right" w:pos="9026"/>
      </w:tabs>
    </w:pPr>
  </w:style>
  <w:style w:type="character" w:customStyle="1" w:styleId="HeaderChar">
    <w:name w:val="Header Char"/>
    <w:basedOn w:val="DefaultParagraphFont"/>
    <w:link w:val="Header"/>
    <w:uiPriority w:val="99"/>
    <w:locked/>
    <w:rsid w:val="00287DFF"/>
    <w:rPr>
      <w:rFonts w:cs="Times New Roman"/>
    </w:rPr>
  </w:style>
  <w:style w:type="paragraph" w:styleId="Footer">
    <w:name w:val="footer"/>
    <w:basedOn w:val="Normal"/>
    <w:link w:val="FooterChar"/>
    <w:uiPriority w:val="99"/>
    <w:rsid w:val="00287DFF"/>
    <w:pPr>
      <w:tabs>
        <w:tab w:val="center" w:pos="4513"/>
        <w:tab w:val="right" w:pos="9026"/>
      </w:tabs>
    </w:pPr>
  </w:style>
  <w:style w:type="character" w:customStyle="1" w:styleId="FooterChar">
    <w:name w:val="Footer Char"/>
    <w:basedOn w:val="DefaultParagraphFont"/>
    <w:link w:val="Footer"/>
    <w:uiPriority w:val="99"/>
    <w:locked/>
    <w:rsid w:val="00287DFF"/>
    <w:rPr>
      <w:rFonts w:cs="Times New Roman"/>
    </w:rPr>
  </w:style>
  <w:style w:type="paragraph" w:styleId="BalloonText">
    <w:name w:val="Balloon Text"/>
    <w:basedOn w:val="Normal"/>
    <w:link w:val="BalloonTextChar"/>
    <w:uiPriority w:val="99"/>
    <w:semiHidden/>
    <w:rsid w:val="00E06A6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E06A62"/>
    <w:rPr>
      <w:rFonts w:ascii="Segoe UI" w:hAnsi="Segoe UI" w:cs="Segoe UI"/>
      <w:sz w:val="18"/>
      <w:szCs w:val="18"/>
    </w:rPr>
  </w:style>
  <w:style w:type="paragraph" w:styleId="ListParagraph">
    <w:name w:val="List Paragraph"/>
    <w:basedOn w:val="Normal"/>
    <w:qFormat/>
    <w:rsid w:val="00093B06"/>
    <w:pPr>
      <w:spacing w:after="200" w:line="276" w:lineRule="auto"/>
      <w:ind w:left="720"/>
      <w:contextualSpacing/>
    </w:pPr>
    <w:rPr>
      <w:rFonts w:eastAsia="Times New Roman"/>
      <w:sz w:val="22"/>
      <w:szCs w:val="22"/>
    </w:rPr>
  </w:style>
  <w:style w:type="character" w:styleId="Hyperlink">
    <w:name w:val="Hyperlink"/>
    <w:basedOn w:val="DefaultParagraphFont"/>
    <w:uiPriority w:val="99"/>
    <w:rsid w:val="007E728A"/>
    <w:rPr>
      <w:rFonts w:cs="Times New Roman"/>
      <w:color w:val="0563C1"/>
      <w:u w:val="single"/>
    </w:rPr>
  </w:style>
  <w:style w:type="character" w:styleId="FollowedHyperlink">
    <w:name w:val="FollowedHyperlink"/>
    <w:basedOn w:val="DefaultParagraphFont"/>
    <w:uiPriority w:val="99"/>
    <w:semiHidden/>
    <w:rsid w:val="007E728A"/>
    <w:rPr>
      <w:rFonts w:cs="Times New Roman"/>
      <w:color w:val="954F72"/>
      <w:u w:val="single"/>
    </w:rPr>
  </w:style>
  <w:style w:type="paragraph" w:styleId="NormalWeb">
    <w:name w:val="Normal (Web)"/>
    <w:basedOn w:val="Normal"/>
    <w:uiPriority w:val="99"/>
    <w:semiHidden/>
    <w:rsid w:val="00C123C8"/>
    <w:pPr>
      <w:spacing w:after="300" w:line="360" w:lineRule="atLeast"/>
    </w:pPr>
    <w:rPr>
      <w:rFonts w:ascii="Times New Roman" w:hAnsi="Times New Roman"/>
      <w:color w:val="5D6769"/>
      <w:lang w:eastAsia="en-GB"/>
    </w:rPr>
  </w:style>
  <w:style w:type="character" w:styleId="Strong">
    <w:name w:val="Strong"/>
    <w:basedOn w:val="DefaultParagraphFont"/>
    <w:uiPriority w:val="99"/>
    <w:qFormat/>
    <w:rsid w:val="00C123C8"/>
    <w:rPr>
      <w:rFonts w:cs="Times New Roman"/>
      <w:b/>
      <w:bCs/>
    </w:rPr>
  </w:style>
  <w:style w:type="paragraph" w:styleId="CommentText">
    <w:name w:val="annotation text"/>
    <w:basedOn w:val="Normal"/>
    <w:link w:val="CommentTextChar"/>
    <w:uiPriority w:val="99"/>
    <w:semiHidden/>
    <w:rsid w:val="00DE2763"/>
    <w:pPr>
      <w:spacing w:line="240" w:lineRule="auto"/>
    </w:pPr>
    <w:rPr>
      <w:rFonts w:ascii="Times New Roman" w:eastAsia="Times New Roman" w:hAnsi="Times New Roman"/>
      <w:sz w:val="20"/>
      <w:szCs w:val="20"/>
      <w:lang w:val="en-US"/>
    </w:rPr>
  </w:style>
  <w:style w:type="character" w:customStyle="1" w:styleId="CommentTextChar">
    <w:name w:val="Comment Text Char"/>
    <w:basedOn w:val="DefaultParagraphFont"/>
    <w:link w:val="CommentText"/>
    <w:uiPriority w:val="99"/>
    <w:semiHidden/>
    <w:locked/>
    <w:rsid w:val="00DE2763"/>
    <w:rPr>
      <w:rFonts w:ascii="Times New Roman" w:hAnsi="Times New Roman" w:cs="Times New Roman"/>
      <w:sz w:val="20"/>
      <w:szCs w:val="20"/>
      <w:lang w:val="en-US"/>
    </w:rPr>
  </w:style>
  <w:style w:type="character" w:styleId="CommentReference">
    <w:name w:val="annotation reference"/>
    <w:basedOn w:val="DefaultParagraphFont"/>
    <w:uiPriority w:val="99"/>
    <w:semiHidden/>
    <w:rsid w:val="00DE2763"/>
    <w:rPr>
      <w:rFonts w:cs="Times New Roman"/>
      <w:sz w:val="16"/>
      <w:szCs w:val="16"/>
    </w:rPr>
  </w:style>
  <w:style w:type="paragraph" w:styleId="PlainText">
    <w:name w:val="Plain Text"/>
    <w:basedOn w:val="Normal"/>
    <w:link w:val="PlainTextChar"/>
    <w:uiPriority w:val="99"/>
    <w:unhideWhenUsed/>
    <w:rsid w:val="0070642E"/>
    <w:pPr>
      <w:spacing w:line="240" w:lineRule="auto"/>
    </w:pPr>
    <w:rPr>
      <w:rFonts w:eastAsiaTheme="minorHAnsi" w:cs="Consolas"/>
      <w:sz w:val="22"/>
      <w:szCs w:val="21"/>
    </w:rPr>
  </w:style>
  <w:style w:type="character" w:customStyle="1" w:styleId="PlainTextChar">
    <w:name w:val="Plain Text Char"/>
    <w:basedOn w:val="DefaultParagraphFont"/>
    <w:link w:val="PlainText"/>
    <w:uiPriority w:val="99"/>
    <w:rsid w:val="0070642E"/>
    <w:rPr>
      <w:rFonts w:eastAsiaTheme="minorHAnsi" w:cs="Consolas"/>
      <w:szCs w:val="21"/>
      <w:lang w:eastAsia="en-US"/>
    </w:rPr>
  </w:style>
  <w:style w:type="paragraph" w:styleId="CommentSubject">
    <w:name w:val="annotation subject"/>
    <w:basedOn w:val="CommentText"/>
    <w:next w:val="CommentText"/>
    <w:link w:val="CommentSubjectChar"/>
    <w:uiPriority w:val="99"/>
    <w:semiHidden/>
    <w:unhideWhenUsed/>
    <w:rsid w:val="003D5172"/>
    <w:rPr>
      <w:rFonts w:ascii="Calibri" w:eastAsia="Calibri" w:hAnsi="Calibri"/>
      <w:b/>
      <w:bCs/>
      <w:lang w:val="en-GB"/>
    </w:rPr>
  </w:style>
  <w:style w:type="character" w:customStyle="1" w:styleId="CommentSubjectChar">
    <w:name w:val="Comment Subject Char"/>
    <w:basedOn w:val="CommentTextChar"/>
    <w:link w:val="CommentSubject"/>
    <w:uiPriority w:val="99"/>
    <w:semiHidden/>
    <w:rsid w:val="003D5172"/>
    <w:rPr>
      <w:rFonts w:ascii="Times New Roman" w:hAnsi="Times New Roman" w:cs="Times New Roman"/>
      <w:b/>
      <w:bCs/>
      <w:sz w:val="20"/>
      <w:szCs w:val="20"/>
      <w:lang w:val="en-US" w:eastAsia="en-US"/>
    </w:rPr>
  </w:style>
  <w:style w:type="paragraph" w:styleId="Revision">
    <w:name w:val="Revision"/>
    <w:hidden/>
    <w:uiPriority w:val="99"/>
    <w:semiHidden/>
    <w:rsid w:val="00E2565E"/>
    <w:rPr>
      <w:sz w:val="24"/>
      <w:szCs w:val="24"/>
      <w:lang w:eastAsia="en-US"/>
    </w:rPr>
  </w:style>
  <w:style w:type="character" w:customStyle="1" w:styleId="s20">
    <w:name w:val="s20"/>
    <w:basedOn w:val="DefaultParagraphFont"/>
    <w:rsid w:val="005E3C5F"/>
  </w:style>
  <w:style w:type="character" w:customStyle="1" w:styleId="s21">
    <w:name w:val="s21"/>
    <w:basedOn w:val="DefaultParagraphFont"/>
    <w:rsid w:val="005E3C5F"/>
  </w:style>
  <w:style w:type="character" w:customStyle="1" w:styleId="s22">
    <w:name w:val="s22"/>
    <w:basedOn w:val="DefaultParagraphFont"/>
    <w:rsid w:val="005E3C5F"/>
  </w:style>
  <w:style w:type="paragraph" w:customStyle="1" w:styleId="Body">
    <w:name w:val="Body"/>
    <w:rsid w:val="00020CFE"/>
    <w:pPr>
      <w:keepNext/>
      <w:keepLines/>
      <w:pBdr>
        <w:top w:val="nil"/>
        <w:left w:val="nil"/>
        <w:bottom w:val="nil"/>
        <w:right w:val="nil"/>
        <w:between w:val="nil"/>
        <w:bar w:val="nil"/>
      </w:pBdr>
      <w:spacing w:after="200" w:line="276" w:lineRule="auto"/>
    </w:pPr>
    <w:rPr>
      <w:rFonts w:ascii="Times New Roman" w:eastAsia="Arial Unicode MS" w:hAnsi="Times New Roman" w:cs="Arial Unicode MS"/>
      <w:color w:val="000000"/>
      <w:sz w:val="24"/>
      <w:szCs w:val="24"/>
      <w:u w:color="000000"/>
      <w:bdr w:val="nil"/>
      <w:lang w:val="en-US"/>
    </w:rPr>
  </w:style>
  <w:style w:type="paragraph" w:customStyle="1" w:styleId="Heading">
    <w:name w:val="Heading"/>
    <w:next w:val="Body"/>
    <w:rsid w:val="00020CFE"/>
    <w:pPr>
      <w:keepNext/>
      <w:keepLines/>
      <w:pBdr>
        <w:top w:val="nil"/>
        <w:left w:val="nil"/>
        <w:bottom w:val="nil"/>
        <w:right w:val="nil"/>
        <w:between w:val="nil"/>
        <w:bar w:val="nil"/>
      </w:pBdr>
      <w:spacing w:after="200" w:line="276" w:lineRule="auto"/>
      <w:jc w:val="both"/>
      <w:outlineLvl w:val="0"/>
    </w:pPr>
    <w:rPr>
      <w:rFonts w:ascii="Times New Roman" w:eastAsia="Arial Unicode MS" w:hAnsi="Times New Roman" w:cs="Arial Unicode MS"/>
      <w:b/>
      <w:bCs/>
      <w:color w:val="000000"/>
      <w:sz w:val="24"/>
      <w:szCs w:val="24"/>
      <w:u w:color="000000"/>
      <w:bdr w:val="nil"/>
      <w:lang w:val="en-US"/>
    </w:rPr>
  </w:style>
  <w:style w:type="numbering" w:customStyle="1" w:styleId="ImportedStyle3">
    <w:name w:val="Imported Style 3"/>
    <w:rsid w:val="00020CFE"/>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876522">
      <w:bodyDiv w:val="1"/>
      <w:marLeft w:val="0"/>
      <w:marRight w:val="0"/>
      <w:marTop w:val="0"/>
      <w:marBottom w:val="0"/>
      <w:divBdr>
        <w:top w:val="none" w:sz="0" w:space="0" w:color="auto"/>
        <w:left w:val="none" w:sz="0" w:space="0" w:color="auto"/>
        <w:bottom w:val="none" w:sz="0" w:space="0" w:color="auto"/>
        <w:right w:val="none" w:sz="0" w:space="0" w:color="auto"/>
      </w:divBdr>
    </w:div>
    <w:div w:id="309747283">
      <w:bodyDiv w:val="1"/>
      <w:marLeft w:val="0"/>
      <w:marRight w:val="0"/>
      <w:marTop w:val="0"/>
      <w:marBottom w:val="0"/>
      <w:divBdr>
        <w:top w:val="none" w:sz="0" w:space="0" w:color="auto"/>
        <w:left w:val="none" w:sz="0" w:space="0" w:color="auto"/>
        <w:bottom w:val="none" w:sz="0" w:space="0" w:color="auto"/>
        <w:right w:val="none" w:sz="0" w:space="0" w:color="auto"/>
      </w:divBdr>
    </w:div>
    <w:div w:id="585961595">
      <w:bodyDiv w:val="1"/>
      <w:marLeft w:val="0"/>
      <w:marRight w:val="0"/>
      <w:marTop w:val="0"/>
      <w:marBottom w:val="0"/>
      <w:divBdr>
        <w:top w:val="none" w:sz="0" w:space="0" w:color="auto"/>
        <w:left w:val="none" w:sz="0" w:space="0" w:color="auto"/>
        <w:bottom w:val="none" w:sz="0" w:space="0" w:color="auto"/>
        <w:right w:val="none" w:sz="0" w:space="0" w:color="auto"/>
      </w:divBdr>
    </w:div>
    <w:div w:id="869151026">
      <w:bodyDiv w:val="1"/>
      <w:marLeft w:val="0"/>
      <w:marRight w:val="0"/>
      <w:marTop w:val="0"/>
      <w:marBottom w:val="0"/>
      <w:divBdr>
        <w:top w:val="none" w:sz="0" w:space="0" w:color="auto"/>
        <w:left w:val="none" w:sz="0" w:space="0" w:color="auto"/>
        <w:bottom w:val="none" w:sz="0" w:space="0" w:color="auto"/>
        <w:right w:val="none" w:sz="0" w:space="0" w:color="auto"/>
      </w:divBdr>
    </w:div>
    <w:div w:id="962032006">
      <w:marLeft w:val="0"/>
      <w:marRight w:val="0"/>
      <w:marTop w:val="0"/>
      <w:marBottom w:val="0"/>
      <w:divBdr>
        <w:top w:val="none" w:sz="0" w:space="0" w:color="auto"/>
        <w:left w:val="none" w:sz="0" w:space="0" w:color="auto"/>
        <w:bottom w:val="none" w:sz="0" w:space="0" w:color="auto"/>
        <w:right w:val="none" w:sz="0" w:space="0" w:color="auto"/>
      </w:divBdr>
    </w:div>
    <w:div w:id="962032007">
      <w:marLeft w:val="0"/>
      <w:marRight w:val="0"/>
      <w:marTop w:val="0"/>
      <w:marBottom w:val="0"/>
      <w:divBdr>
        <w:top w:val="none" w:sz="0" w:space="0" w:color="auto"/>
        <w:left w:val="none" w:sz="0" w:space="0" w:color="auto"/>
        <w:bottom w:val="none" w:sz="0" w:space="0" w:color="auto"/>
        <w:right w:val="none" w:sz="0" w:space="0" w:color="auto"/>
      </w:divBdr>
    </w:div>
    <w:div w:id="962032008">
      <w:marLeft w:val="0"/>
      <w:marRight w:val="0"/>
      <w:marTop w:val="0"/>
      <w:marBottom w:val="0"/>
      <w:divBdr>
        <w:top w:val="none" w:sz="0" w:space="0" w:color="auto"/>
        <w:left w:val="none" w:sz="0" w:space="0" w:color="auto"/>
        <w:bottom w:val="none" w:sz="0" w:space="0" w:color="auto"/>
        <w:right w:val="none" w:sz="0" w:space="0" w:color="auto"/>
      </w:divBdr>
    </w:div>
    <w:div w:id="962032009">
      <w:marLeft w:val="0"/>
      <w:marRight w:val="0"/>
      <w:marTop w:val="0"/>
      <w:marBottom w:val="0"/>
      <w:divBdr>
        <w:top w:val="none" w:sz="0" w:space="0" w:color="auto"/>
        <w:left w:val="none" w:sz="0" w:space="0" w:color="auto"/>
        <w:bottom w:val="none" w:sz="0" w:space="0" w:color="auto"/>
        <w:right w:val="none" w:sz="0" w:space="0" w:color="auto"/>
      </w:divBdr>
    </w:div>
    <w:div w:id="962032010">
      <w:marLeft w:val="0"/>
      <w:marRight w:val="0"/>
      <w:marTop w:val="0"/>
      <w:marBottom w:val="0"/>
      <w:divBdr>
        <w:top w:val="none" w:sz="0" w:space="0" w:color="auto"/>
        <w:left w:val="none" w:sz="0" w:space="0" w:color="auto"/>
        <w:bottom w:val="none" w:sz="0" w:space="0" w:color="auto"/>
        <w:right w:val="none" w:sz="0" w:space="0" w:color="auto"/>
      </w:divBdr>
    </w:div>
    <w:div w:id="962032011">
      <w:marLeft w:val="0"/>
      <w:marRight w:val="0"/>
      <w:marTop w:val="0"/>
      <w:marBottom w:val="0"/>
      <w:divBdr>
        <w:top w:val="none" w:sz="0" w:space="0" w:color="auto"/>
        <w:left w:val="none" w:sz="0" w:space="0" w:color="auto"/>
        <w:bottom w:val="none" w:sz="0" w:space="0" w:color="auto"/>
        <w:right w:val="none" w:sz="0" w:space="0" w:color="auto"/>
      </w:divBdr>
    </w:div>
    <w:div w:id="962032012">
      <w:marLeft w:val="0"/>
      <w:marRight w:val="0"/>
      <w:marTop w:val="0"/>
      <w:marBottom w:val="0"/>
      <w:divBdr>
        <w:top w:val="none" w:sz="0" w:space="0" w:color="auto"/>
        <w:left w:val="none" w:sz="0" w:space="0" w:color="auto"/>
        <w:bottom w:val="none" w:sz="0" w:space="0" w:color="auto"/>
        <w:right w:val="none" w:sz="0" w:space="0" w:color="auto"/>
      </w:divBdr>
    </w:div>
    <w:div w:id="962032017">
      <w:marLeft w:val="0"/>
      <w:marRight w:val="0"/>
      <w:marTop w:val="0"/>
      <w:marBottom w:val="0"/>
      <w:divBdr>
        <w:top w:val="none" w:sz="0" w:space="0" w:color="auto"/>
        <w:left w:val="none" w:sz="0" w:space="0" w:color="auto"/>
        <w:bottom w:val="none" w:sz="0" w:space="0" w:color="auto"/>
        <w:right w:val="none" w:sz="0" w:space="0" w:color="auto"/>
      </w:divBdr>
      <w:divsChild>
        <w:div w:id="962032013">
          <w:marLeft w:val="0"/>
          <w:marRight w:val="0"/>
          <w:marTop w:val="0"/>
          <w:marBottom w:val="0"/>
          <w:divBdr>
            <w:top w:val="none" w:sz="0" w:space="0" w:color="auto"/>
            <w:left w:val="none" w:sz="0" w:space="0" w:color="auto"/>
            <w:bottom w:val="none" w:sz="0" w:space="0" w:color="auto"/>
            <w:right w:val="none" w:sz="0" w:space="0" w:color="auto"/>
          </w:divBdr>
        </w:div>
        <w:div w:id="962032014">
          <w:marLeft w:val="0"/>
          <w:marRight w:val="0"/>
          <w:marTop w:val="0"/>
          <w:marBottom w:val="0"/>
          <w:divBdr>
            <w:top w:val="none" w:sz="0" w:space="0" w:color="auto"/>
            <w:left w:val="none" w:sz="0" w:space="0" w:color="auto"/>
            <w:bottom w:val="none" w:sz="0" w:space="0" w:color="auto"/>
            <w:right w:val="none" w:sz="0" w:space="0" w:color="auto"/>
          </w:divBdr>
        </w:div>
        <w:div w:id="962032015">
          <w:marLeft w:val="0"/>
          <w:marRight w:val="0"/>
          <w:marTop w:val="0"/>
          <w:marBottom w:val="0"/>
          <w:divBdr>
            <w:top w:val="none" w:sz="0" w:space="0" w:color="auto"/>
            <w:left w:val="none" w:sz="0" w:space="0" w:color="auto"/>
            <w:bottom w:val="none" w:sz="0" w:space="0" w:color="auto"/>
            <w:right w:val="none" w:sz="0" w:space="0" w:color="auto"/>
          </w:divBdr>
        </w:div>
        <w:div w:id="962032016">
          <w:marLeft w:val="0"/>
          <w:marRight w:val="0"/>
          <w:marTop w:val="0"/>
          <w:marBottom w:val="0"/>
          <w:divBdr>
            <w:top w:val="none" w:sz="0" w:space="0" w:color="auto"/>
            <w:left w:val="none" w:sz="0" w:space="0" w:color="auto"/>
            <w:bottom w:val="none" w:sz="0" w:space="0" w:color="auto"/>
            <w:right w:val="none" w:sz="0" w:space="0" w:color="auto"/>
          </w:divBdr>
        </w:div>
        <w:div w:id="962032018">
          <w:marLeft w:val="0"/>
          <w:marRight w:val="0"/>
          <w:marTop w:val="0"/>
          <w:marBottom w:val="0"/>
          <w:divBdr>
            <w:top w:val="none" w:sz="0" w:space="0" w:color="auto"/>
            <w:left w:val="none" w:sz="0" w:space="0" w:color="auto"/>
            <w:bottom w:val="none" w:sz="0" w:space="0" w:color="auto"/>
            <w:right w:val="none" w:sz="0" w:space="0" w:color="auto"/>
          </w:divBdr>
        </w:div>
      </w:divsChild>
    </w:div>
    <w:div w:id="1267228657">
      <w:bodyDiv w:val="1"/>
      <w:marLeft w:val="0"/>
      <w:marRight w:val="0"/>
      <w:marTop w:val="0"/>
      <w:marBottom w:val="0"/>
      <w:divBdr>
        <w:top w:val="none" w:sz="0" w:space="0" w:color="auto"/>
        <w:left w:val="none" w:sz="0" w:space="0" w:color="auto"/>
        <w:bottom w:val="none" w:sz="0" w:space="0" w:color="auto"/>
        <w:right w:val="none" w:sz="0" w:space="0" w:color="auto"/>
      </w:divBdr>
    </w:div>
    <w:div w:id="1614359820">
      <w:bodyDiv w:val="1"/>
      <w:marLeft w:val="0"/>
      <w:marRight w:val="0"/>
      <w:marTop w:val="0"/>
      <w:marBottom w:val="0"/>
      <w:divBdr>
        <w:top w:val="none" w:sz="0" w:space="0" w:color="auto"/>
        <w:left w:val="none" w:sz="0" w:space="0" w:color="auto"/>
        <w:bottom w:val="none" w:sz="0" w:space="0" w:color="auto"/>
        <w:right w:val="none" w:sz="0" w:space="0" w:color="auto"/>
      </w:divBdr>
    </w:div>
    <w:div w:id="1932422284">
      <w:bodyDiv w:val="1"/>
      <w:marLeft w:val="0"/>
      <w:marRight w:val="0"/>
      <w:marTop w:val="0"/>
      <w:marBottom w:val="0"/>
      <w:divBdr>
        <w:top w:val="none" w:sz="0" w:space="0" w:color="auto"/>
        <w:left w:val="none" w:sz="0" w:space="0" w:color="auto"/>
        <w:bottom w:val="none" w:sz="0" w:space="0" w:color="auto"/>
        <w:right w:val="none" w:sz="0" w:space="0" w:color="auto"/>
      </w:divBdr>
    </w:div>
    <w:div w:id="2128962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niel.celardi\Desktop\New%20FBU%20LH%20Mono%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New FBU LH Mono 2</Template>
  <TotalTime>0</TotalTime>
  <Pages>3</Pages>
  <Words>934</Words>
  <Characters>5324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The Fire Brigades Union</Company>
  <LinksUpToDate>false</LinksUpToDate>
  <CharactersWithSpaces>6246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Celardi</dc:creator>
  <cp:keywords/>
  <dc:description/>
  <cp:lastModifiedBy>William Murphy</cp:lastModifiedBy>
  <cp:revision>2</cp:revision>
  <cp:lastPrinted>2017-03-13T09:17:00Z</cp:lastPrinted>
  <dcterms:created xsi:type="dcterms:W3CDTF">2017-03-21T09:50:00Z</dcterms:created>
  <dcterms:modified xsi:type="dcterms:W3CDTF">2017-03-21T09:50:00Z</dcterms:modified>
</cp:coreProperties>
</file>